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894B393" w14:textId="77777777" w:rsidR="000C20FD" w:rsidRPr="002E7C7E" w:rsidRDefault="00866A90">
      <w:pPr>
        <w:tabs>
          <w:tab w:val="center" w:pos="4536"/>
          <w:tab w:val="right" w:pos="9639"/>
        </w:tabs>
        <w:spacing w:after="0" w:line="240" w:lineRule="auto"/>
        <w:ind w:right="2"/>
        <w:rPr>
          <w:rFonts w:ascii="Arial" w:hAnsi="Arial" w:cs="Arial"/>
          <w:b/>
          <w:bCs/>
          <w:sz w:val="22"/>
          <w:szCs w:val="22"/>
        </w:rPr>
      </w:pPr>
      <w:bookmarkStart w:id="0" w:name="_GoBack"/>
      <w:bookmarkEnd w:id="0"/>
      <w:r w:rsidRPr="002E7C7E">
        <w:rPr>
          <w:rFonts w:ascii="Arial" w:hAnsi="Arial" w:cs="Arial"/>
          <w:b/>
          <w:bCs/>
          <w:sz w:val="22"/>
          <w:szCs w:val="22"/>
        </w:rPr>
        <w:t xml:space="preserve">3GPP TSG RAN WG1 </w:t>
      </w:r>
      <w:r w:rsidRPr="002E7C7E">
        <w:rPr>
          <w:rFonts w:ascii="Arial" w:hAnsi="Arial" w:cs="Arial" w:hint="eastAsia"/>
          <w:b/>
          <w:bCs/>
          <w:sz w:val="22"/>
          <w:szCs w:val="22"/>
        </w:rPr>
        <w:t>#97</w:t>
      </w:r>
      <w:r w:rsidRPr="002E7C7E">
        <w:rPr>
          <w:rFonts w:ascii="Arial" w:hAnsi="Arial" w:cs="Arial"/>
          <w:b/>
          <w:bCs/>
          <w:sz w:val="22"/>
          <w:szCs w:val="22"/>
        </w:rPr>
        <w:tab/>
      </w:r>
      <w:r w:rsidRPr="002E7C7E">
        <w:rPr>
          <w:rFonts w:ascii="Arial" w:hAnsi="Arial" w:cs="Arial"/>
          <w:b/>
          <w:bCs/>
          <w:sz w:val="22"/>
          <w:szCs w:val="22"/>
        </w:rPr>
        <w:tab/>
      </w:r>
      <w:r w:rsidR="002E7C7E" w:rsidRPr="002E7C7E">
        <w:rPr>
          <w:rFonts w:ascii="Arial" w:hAnsi="Arial" w:cs="Arial"/>
          <w:b/>
          <w:bCs/>
          <w:sz w:val="22"/>
          <w:szCs w:val="22"/>
        </w:rPr>
        <w:t>R1-1906462</w:t>
      </w:r>
    </w:p>
    <w:p w14:paraId="6BB9D834" w14:textId="77777777" w:rsidR="000C20FD" w:rsidRDefault="00866A90">
      <w:pPr>
        <w:tabs>
          <w:tab w:val="center" w:pos="4536"/>
          <w:tab w:val="right" w:pos="9639"/>
        </w:tabs>
        <w:spacing w:after="0" w:line="240" w:lineRule="auto"/>
        <w:ind w:right="2"/>
        <w:rPr>
          <w:rFonts w:ascii="Arial" w:hAnsi="Arial" w:cs="Arial"/>
          <w:b/>
          <w:bCs/>
          <w:sz w:val="22"/>
          <w:szCs w:val="22"/>
        </w:rPr>
      </w:pPr>
      <w:r>
        <w:rPr>
          <w:rFonts w:ascii="Arial" w:hAnsi="Arial" w:cs="Arial"/>
          <w:b/>
          <w:bCs/>
          <w:sz w:val="22"/>
          <w:szCs w:val="22"/>
          <w:lang w:eastAsia="ja-JP"/>
        </w:rPr>
        <w:t>Reno, USA, May 13th – 17th, 2019</w:t>
      </w:r>
    </w:p>
    <w:p w14:paraId="53A83FDF" w14:textId="77777777" w:rsidR="000C20FD" w:rsidRDefault="00866A90">
      <w:pPr>
        <w:tabs>
          <w:tab w:val="left" w:pos="1985"/>
        </w:tabs>
        <w:spacing w:beforeLines="100" w:before="240" w:after="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synchronization mechanism in NR V2X</w:t>
      </w:r>
    </w:p>
    <w:p w14:paraId="78A726F3" w14:textId="77777777" w:rsidR="000C20FD" w:rsidRDefault="00866A90">
      <w:pPr>
        <w:tabs>
          <w:tab w:val="left" w:pos="1985"/>
        </w:tabs>
        <w:spacing w:before="156" w:after="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hint="eastAsia"/>
          <w:b/>
          <w:sz w:val="22"/>
          <w:szCs w:val="22"/>
        </w:rPr>
        <w:t>ZTE, Sanechips</w:t>
      </w:r>
    </w:p>
    <w:p w14:paraId="3F8E296B" w14:textId="77777777" w:rsidR="000C20FD" w:rsidRDefault="00866A90">
      <w:pPr>
        <w:tabs>
          <w:tab w:val="left" w:pos="1985"/>
        </w:tabs>
        <w:spacing w:before="156" w:after="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7.2.4.3</w:t>
      </w:r>
    </w:p>
    <w:p w14:paraId="4BD7D280" w14:textId="77777777" w:rsidR="000C20FD" w:rsidRDefault="00866A90">
      <w:pPr>
        <w:tabs>
          <w:tab w:val="left" w:pos="1985"/>
        </w:tabs>
        <w:spacing w:before="156" w:after="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14:paraId="31B3502B" w14:textId="77777777" w:rsidR="000C20FD" w:rsidRDefault="00866A90">
      <w:pPr>
        <w:pStyle w:val="Heading1"/>
        <w:adjustRightInd w:val="0"/>
        <w:snapToGrid w:val="0"/>
        <w:spacing w:afterLines="50" w:after="120" w:line="260" w:lineRule="auto"/>
        <w:ind w:left="0"/>
        <w:rPr>
          <w:rFonts w:eastAsia="SimSun"/>
        </w:rPr>
      </w:pPr>
      <w:r>
        <w:rPr>
          <w:rFonts w:hint="eastAsia"/>
          <w:szCs w:val="22"/>
        </w:rPr>
        <w:t>Introduction</w:t>
      </w:r>
    </w:p>
    <w:p w14:paraId="47174907" w14:textId="77777777" w:rsidR="000C20FD" w:rsidRDefault="00866A90">
      <w:pPr>
        <w:spacing w:afterLines="50" w:after="120" w:line="260" w:lineRule="auto"/>
        <w:rPr>
          <w:sz w:val="20"/>
        </w:rPr>
      </w:pPr>
      <w:r>
        <w:rPr>
          <w:rFonts w:hint="eastAsia"/>
          <w:sz w:val="20"/>
        </w:rPr>
        <w:t>At RAN1 #96bis meeting, the following agreements and working assumption were made [1]:</w:t>
      </w:r>
    </w:p>
    <w:p w14:paraId="63596F5A" w14:textId="77777777" w:rsidR="000C20FD" w:rsidRDefault="00866A90">
      <w:pPr>
        <w:spacing w:afterLines="50" w:after="120" w:line="260" w:lineRule="auto"/>
        <w:rPr>
          <w:sz w:val="20"/>
        </w:rPr>
      </w:pPr>
      <w:r>
        <w:rPr>
          <w:sz w:val="20"/>
          <w:highlight w:val="green"/>
        </w:rPr>
        <w:t>Agreements</w:t>
      </w:r>
      <w:r>
        <w:rPr>
          <w:sz w:val="20"/>
        </w:rPr>
        <w:t>:</w:t>
      </w:r>
    </w:p>
    <w:p w14:paraId="7911B96A" w14:textId="77777777" w:rsidR="000C20FD" w:rsidRDefault="00866A90">
      <w:pPr>
        <w:numPr>
          <w:ilvl w:val="0"/>
          <w:numId w:val="5"/>
        </w:numPr>
        <w:spacing w:afterLines="50" w:after="120" w:line="260" w:lineRule="auto"/>
        <w:rPr>
          <w:sz w:val="20"/>
        </w:rPr>
      </w:pPr>
      <w:r>
        <w:rPr>
          <w:sz w:val="20"/>
        </w:rPr>
        <w:t>In NR V2X, S-SSB bandwidth is 11RB</w:t>
      </w:r>
      <w:r>
        <w:rPr>
          <w:rFonts w:hint="eastAsia"/>
          <w:sz w:val="20"/>
        </w:rPr>
        <w:t>s</w:t>
      </w:r>
      <w:r>
        <w:rPr>
          <w:sz w:val="20"/>
        </w:rPr>
        <w:t xml:space="preserve">. </w:t>
      </w:r>
    </w:p>
    <w:p w14:paraId="38032306" w14:textId="77777777" w:rsidR="000C20FD" w:rsidRDefault="00866A90">
      <w:pPr>
        <w:numPr>
          <w:ilvl w:val="1"/>
          <w:numId w:val="5"/>
        </w:numPr>
        <w:rPr>
          <w:sz w:val="20"/>
        </w:rPr>
      </w:pPr>
      <w:r>
        <w:rPr>
          <w:rFonts w:hint="eastAsia"/>
          <w:sz w:val="20"/>
        </w:rPr>
        <w:t>PSBCH spans 11RBs.</w:t>
      </w:r>
    </w:p>
    <w:p w14:paraId="6B637F69" w14:textId="77777777" w:rsidR="000C20FD" w:rsidRDefault="00866A90">
      <w:pPr>
        <w:numPr>
          <w:ilvl w:val="0"/>
          <w:numId w:val="5"/>
        </w:numPr>
        <w:spacing w:afterLines="50" w:after="120" w:line="260" w:lineRule="auto"/>
        <w:rPr>
          <w:sz w:val="20"/>
        </w:rPr>
      </w:pPr>
      <w:r>
        <w:rPr>
          <w:sz w:val="20"/>
        </w:rPr>
        <w:t>The S-SSB is designed following combination 1.</w:t>
      </w:r>
    </w:p>
    <w:p w14:paraId="631BBE00" w14:textId="77777777" w:rsidR="000C20FD" w:rsidRDefault="00866A90">
      <w:pPr>
        <w:numPr>
          <w:ilvl w:val="1"/>
          <w:numId w:val="5"/>
        </w:numPr>
        <w:spacing w:afterLines="50" w:after="120" w:line="260" w:lineRule="auto"/>
        <w:rPr>
          <w:sz w:val="20"/>
        </w:rPr>
      </w:pPr>
      <w:r>
        <w:rPr>
          <w:sz w:val="20"/>
        </w:rPr>
        <w:t>Length-127 M-sequences for S-PSS and length-127 Gold sequences for S-SSS</w:t>
      </w:r>
    </w:p>
    <w:p w14:paraId="3A5504B4" w14:textId="77777777" w:rsidR="000C20FD" w:rsidRPr="002E7C7E" w:rsidRDefault="00866A90" w:rsidP="002E7C7E">
      <w:pPr>
        <w:numPr>
          <w:ilvl w:val="1"/>
          <w:numId w:val="5"/>
        </w:numPr>
        <w:spacing w:afterLines="50" w:after="120" w:line="260" w:lineRule="auto"/>
        <w:rPr>
          <w:sz w:val="20"/>
        </w:rPr>
      </w:pPr>
      <w:r>
        <w:rPr>
          <w:rFonts w:hint="eastAsia"/>
          <w:sz w:val="20"/>
        </w:rPr>
        <w:t>T</w:t>
      </w:r>
      <w:r>
        <w:rPr>
          <w:sz w:val="20"/>
        </w:rPr>
        <w:t xml:space="preserve">wo symbols </w:t>
      </w:r>
      <w:r>
        <w:rPr>
          <w:rFonts w:hint="eastAsia"/>
          <w:sz w:val="20"/>
        </w:rPr>
        <w:t>are</w:t>
      </w:r>
      <w:r>
        <w:rPr>
          <w:sz w:val="20"/>
        </w:rPr>
        <w:t xml:space="preserve"> used for</w:t>
      </w:r>
      <w:r>
        <w:rPr>
          <w:rFonts w:hint="eastAsia"/>
          <w:sz w:val="20"/>
        </w:rPr>
        <w:t xml:space="preserve"> each of</w:t>
      </w:r>
      <w:r>
        <w:rPr>
          <w:sz w:val="20"/>
        </w:rPr>
        <w:t xml:space="preserve"> S-PSS and S-SSS</w:t>
      </w:r>
      <w:r>
        <w:rPr>
          <w:rFonts w:hint="eastAsia"/>
          <w:sz w:val="20"/>
        </w:rPr>
        <w:t>, respectively.</w:t>
      </w:r>
    </w:p>
    <w:p w14:paraId="6AA24D26" w14:textId="77777777" w:rsidR="000C20FD" w:rsidRDefault="00866A90">
      <w:pPr>
        <w:spacing w:afterLines="50" w:after="120" w:line="260" w:lineRule="auto"/>
        <w:rPr>
          <w:sz w:val="20"/>
        </w:rPr>
      </w:pPr>
      <w:r>
        <w:rPr>
          <w:sz w:val="20"/>
          <w:highlight w:val="green"/>
        </w:rPr>
        <w:t>Agreements</w:t>
      </w:r>
      <w:r>
        <w:rPr>
          <w:sz w:val="20"/>
        </w:rPr>
        <w:t>:</w:t>
      </w:r>
    </w:p>
    <w:p w14:paraId="6F7689E3" w14:textId="77777777" w:rsidR="000C20FD" w:rsidRDefault="00866A90">
      <w:pPr>
        <w:pStyle w:val="BodyText"/>
        <w:numPr>
          <w:ilvl w:val="0"/>
          <w:numId w:val="6"/>
        </w:numPr>
        <w:spacing w:afterLines="50" w:line="260" w:lineRule="auto"/>
        <w:rPr>
          <w:rFonts w:eastAsia="DengXian"/>
          <w:sz w:val="20"/>
        </w:rPr>
      </w:pPr>
      <w:r>
        <w:rPr>
          <w:rFonts w:eastAsia="DengXian"/>
          <w:sz w:val="20"/>
        </w:rPr>
        <w:t>For the</w:t>
      </w:r>
      <w:r>
        <w:rPr>
          <w:rFonts w:eastAsia="DengXian" w:hint="eastAsia"/>
          <w:sz w:val="20"/>
        </w:rPr>
        <w:t xml:space="preserve"> evaluation of PSBCH performance, t</w:t>
      </w:r>
      <w:r>
        <w:rPr>
          <w:rFonts w:eastAsia="DengXian"/>
          <w:sz w:val="20"/>
        </w:rPr>
        <w:t xml:space="preserve">he payload size of </w:t>
      </w:r>
      <w:r>
        <w:rPr>
          <w:rFonts w:eastAsia="DengXian" w:hint="eastAsia"/>
          <w:sz w:val="20"/>
        </w:rPr>
        <w:t xml:space="preserve">NR V2X </w:t>
      </w:r>
      <w:r>
        <w:rPr>
          <w:rFonts w:eastAsia="DengXian"/>
          <w:sz w:val="20"/>
        </w:rPr>
        <w:t xml:space="preserve">PSBCH is 56 bits </w:t>
      </w:r>
      <w:r>
        <w:rPr>
          <w:rFonts w:eastAsia="DengXian" w:hint="eastAsia"/>
          <w:sz w:val="20"/>
        </w:rPr>
        <w:t>including 24 bits of CRC.</w:t>
      </w:r>
    </w:p>
    <w:p w14:paraId="3194B690" w14:textId="77777777" w:rsidR="000C20FD" w:rsidRDefault="00866A90">
      <w:pPr>
        <w:spacing w:afterLines="50" w:after="120" w:line="260" w:lineRule="auto"/>
        <w:rPr>
          <w:sz w:val="20"/>
        </w:rPr>
      </w:pPr>
      <w:r>
        <w:rPr>
          <w:rFonts w:hint="eastAsia"/>
          <w:sz w:val="20"/>
        </w:rPr>
        <w:t>At RAN1 #96 meeting, the following agreements and working assumption were made [2]:</w:t>
      </w:r>
    </w:p>
    <w:p w14:paraId="312C77C6" w14:textId="77777777" w:rsidR="000C20FD" w:rsidRDefault="00866A90">
      <w:pPr>
        <w:spacing w:afterLines="50" w:after="120" w:line="260" w:lineRule="auto"/>
        <w:rPr>
          <w:sz w:val="20"/>
        </w:rPr>
      </w:pPr>
      <w:r>
        <w:rPr>
          <w:sz w:val="20"/>
          <w:highlight w:val="green"/>
        </w:rPr>
        <w:t>Agreements</w:t>
      </w:r>
      <w:r>
        <w:rPr>
          <w:sz w:val="20"/>
        </w:rPr>
        <w:t>:</w:t>
      </w:r>
    </w:p>
    <w:p w14:paraId="11FBA905" w14:textId="77777777" w:rsidR="000C20FD" w:rsidRDefault="00866A90">
      <w:pPr>
        <w:pStyle w:val="BodyText"/>
        <w:numPr>
          <w:ilvl w:val="0"/>
          <w:numId w:val="7"/>
        </w:numPr>
        <w:spacing w:afterLines="50" w:line="260" w:lineRule="auto"/>
        <w:rPr>
          <w:rFonts w:eastAsia="DengXian"/>
          <w:sz w:val="20"/>
        </w:rPr>
      </w:pPr>
      <w:r>
        <w:rPr>
          <w:rFonts w:eastAsia="DengXian"/>
          <w:sz w:val="20"/>
        </w:rPr>
        <w:t xml:space="preserve">Whether GNSS-based synchronization or gNB/eNB-based synchronization is used is (pre)-configured.  </w:t>
      </w:r>
    </w:p>
    <w:p w14:paraId="7E8FE03B" w14:textId="77777777" w:rsidR="000C20FD" w:rsidRDefault="00866A90">
      <w:pPr>
        <w:pStyle w:val="BodyText"/>
        <w:numPr>
          <w:ilvl w:val="1"/>
          <w:numId w:val="7"/>
        </w:numPr>
        <w:spacing w:afterLines="50" w:line="260" w:lineRule="auto"/>
        <w:rPr>
          <w:rFonts w:eastAsia="DengXian"/>
          <w:sz w:val="22"/>
        </w:rPr>
      </w:pPr>
      <w:r>
        <w:rPr>
          <w:rFonts w:eastAsia="DengXian"/>
          <w:sz w:val="20"/>
        </w:rPr>
        <w:t xml:space="preserve">The following table is a </w:t>
      </w:r>
      <w:r>
        <w:rPr>
          <w:rFonts w:eastAsia="DengXian"/>
          <w:sz w:val="20"/>
          <w:highlight w:val="darkYellow"/>
        </w:rPr>
        <w:t>working assumption</w:t>
      </w:r>
    </w:p>
    <w:tbl>
      <w:tblPr>
        <w:tblW w:w="9180" w:type="dxa"/>
        <w:jc w:val="center"/>
        <w:tblLayout w:type="fixed"/>
        <w:tblCellMar>
          <w:left w:w="0" w:type="dxa"/>
          <w:right w:w="0" w:type="dxa"/>
        </w:tblCellMar>
        <w:tblLook w:val="04A0" w:firstRow="1" w:lastRow="0" w:firstColumn="1" w:lastColumn="0" w:noHBand="0" w:noVBand="1"/>
      </w:tblPr>
      <w:tblGrid>
        <w:gridCol w:w="4644"/>
        <w:gridCol w:w="4536"/>
      </w:tblGrid>
      <w:tr w:rsidR="000C20FD" w14:paraId="576142A2" w14:textId="77777777">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709A3935" w14:textId="77777777" w:rsidR="000C20FD" w:rsidRDefault="00866A90">
            <w:pPr>
              <w:spacing w:beforeLines="50" w:before="120" w:afterLines="50" w:after="120"/>
              <w:jc w:val="center"/>
              <w:rPr>
                <w:rFonts w:ascii="Arial" w:eastAsia="DengXian" w:hAnsi="Arial" w:cs="Arial"/>
                <w:color w:val="FFFFFF"/>
                <w:sz w:val="18"/>
                <w:szCs w:val="16"/>
              </w:rPr>
            </w:pPr>
            <w:r>
              <w:rPr>
                <w:rFonts w:ascii="Arial" w:eastAsia="DengXian" w:hAnsi="Arial" w:cs="Arial"/>
                <w:b/>
                <w:bCs/>
                <w:color w:val="FFFFFF"/>
                <w:sz w:val="18"/>
                <w:szCs w:val="16"/>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6791972B" w14:textId="77777777" w:rsidR="000C20FD" w:rsidRDefault="00866A90">
            <w:pPr>
              <w:spacing w:beforeLines="50" w:before="120" w:afterLines="50" w:after="120"/>
              <w:jc w:val="center"/>
              <w:rPr>
                <w:rFonts w:ascii="Arial" w:eastAsia="DengXian" w:hAnsi="Arial" w:cs="Arial"/>
                <w:color w:val="FFFFFF"/>
                <w:sz w:val="18"/>
                <w:szCs w:val="16"/>
              </w:rPr>
            </w:pPr>
            <w:r>
              <w:rPr>
                <w:rFonts w:ascii="Arial" w:eastAsia="DengXian" w:hAnsi="Arial" w:cs="Arial"/>
                <w:b/>
                <w:bCs/>
                <w:color w:val="FFFFFF"/>
                <w:sz w:val="18"/>
                <w:szCs w:val="16"/>
              </w:rPr>
              <w:t>gNB/eNB-based synchronization</w:t>
            </w:r>
          </w:p>
        </w:tc>
      </w:tr>
      <w:tr w:rsidR="000C20FD" w14:paraId="358131F1" w14:textId="77777777">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49461DEA" w14:textId="77777777" w:rsidR="000C20FD" w:rsidRDefault="00866A90">
            <w:pPr>
              <w:numPr>
                <w:ilvl w:val="0"/>
                <w:numId w:val="8"/>
              </w:numPr>
              <w:tabs>
                <w:tab w:val="left" w:pos="284"/>
              </w:tabs>
              <w:spacing w:beforeLines="50" w:before="120" w:afterLines="50" w:after="120" w:line="276" w:lineRule="auto"/>
              <w:ind w:hanging="720"/>
              <w:rPr>
                <w:rFonts w:ascii="Arial" w:eastAsia="DengXian" w:hAnsi="Arial" w:cs="Arial"/>
                <w:sz w:val="18"/>
                <w:szCs w:val="16"/>
              </w:rPr>
            </w:pPr>
            <w:r>
              <w:rPr>
                <w:rFonts w:ascii="Arial" w:eastAsia="DengXian" w:hAnsi="Arial" w:cs="Arial"/>
                <w:sz w:val="18"/>
                <w:szCs w:val="16"/>
              </w:rPr>
              <w:t xml:space="preserve">P0: GNSS </w:t>
            </w:r>
          </w:p>
          <w:p w14:paraId="21F6646A" w14:textId="77777777" w:rsidR="000C20FD" w:rsidRDefault="00866A90">
            <w:pPr>
              <w:numPr>
                <w:ilvl w:val="0"/>
                <w:numId w:val="8"/>
              </w:numPr>
              <w:tabs>
                <w:tab w:val="left" w:pos="284"/>
              </w:tabs>
              <w:spacing w:beforeLines="50" w:before="120" w:afterLines="50" w:after="120" w:line="276" w:lineRule="auto"/>
              <w:ind w:hanging="720"/>
              <w:rPr>
                <w:rFonts w:ascii="Arial" w:eastAsia="DengXian" w:hAnsi="Arial" w:cs="Arial"/>
                <w:sz w:val="18"/>
                <w:szCs w:val="16"/>
              </w:rPr>
            </w:pPr>
            <w:r>
              <w:rPr>
                <w:rFonts w:ascii="Arial" w:eastAsia="DengXian" w:hAnsi="Arial" w:cs="Arial"/>
                <w:sz w:val="18"/>
                <w:szCs w:val="16"/>
              </w:rPr>
              <w:t xml:space="preserve">P1: the following UE has the same priority: </w:t>
            </w:r>
          </w:p>
          <w:p w14:paraId="0476F826" w14:textId="77777777" w:rsidR="000C20FD" w:rsidRDefault="00866A90">
            <w:pPr>
              <w:numPr>
                <w:ilvl w:val="0"/>
                <w:numId w:val="8"/>
              </w:numPr>
              <w:spacing w:beforeLines="50" w:before="120" w:afterLines="50" w:after="120" w:line="276" w:lineRule="auto"/>
              <w:rPr>
                <w:rFonts w:ascii="Arial" w:eastAsia="DengXian" w:hAnsi="Arial" w:cs="Arial"/>
                <w:sz w:val="18"/>
                <w:szCs w:val="16"/>
              </w:rPr>
            </w:pPr>
            <w:r>
              <w:rPr>
                <w:rFonts w:ascii="Arial" w:eastAsia="DengXian" w:hAnsi="Arial" w:cs="Arial"/>
                <w:sz w:val="18"/>
                <w:szCs w:val="16"/>
              </w:rPr>
              <w:t xml:space="preserve">UE directly synchronized to GNSS </w:t>
            </w:r>
          </w:p>
          <w:p w14:paraId="631A81C6" w14:textId="77777777" w:rsidR="000C20FD" w:rsidRDefault="00866A90">
            <w:pPr>
              <w:numPr>
                <w:ilvl w:val="0"/>
                <w:numId w:val="8"/>
              </w:numPr>
              <w:tabs>
                <w:tab w:val="left" w:pos="284"/>
              </w:tabs>
              <w:spacing w:beforeLines="50" w:before="120" w:afterLines="50" w:after="120" w:line="276" w:lineRule="auto"/>
              <w:ind w:hanging="720"/>
              <w:rPr>
                <w:rFonts w:ascii="Arial" w:eastAsia="DengXian" w:hAnsi="Arial" w:cs="Arial"/>
                <w:sz w:val="18"/>
                <w:szCs w:val="16"/>
              </w:rPr>
            </w:pPr>
            <w:r>
              <w:rPr>
                <w:rFonts w:ascii="Arial" w:eastAsia="DengXian" w:hAnsi="Arial" w:cs="Arial"/>
                <w:sz w:val="18"/>
                <w:szCs w:val="16"/>
              </w:rPr>
              <w:t xml:space="preserve">P2: the following UE has the same priority: </w:t>
            </w:r>
          </w:p>
          <w:p w14:paraId="0AF17D12" w14:textId="77777777" w:rsidR="000C20FD" w:rsidRDefault="00866A90">
            <w:pPr>
              <w:numPr>
                <w:ilvl w:val="0"/>
                <w:numId w:val="8"/>
              </w:numPr>
              <w:spacing w:beforeLines="50" w:before="120" w:afterLines="50" w:after="120" w:line="276" w:lineRule="auto"/>
              <w:rPr>
                <w:rFonts w:ascii="Arial" w:eastAsia="DengXian" w:hAnsi="Arial" w:cs="Arial"/>
                <w:sz w:val="18"/>
                <w:szCs w:val="16"/>
              </w:rPr>
            </w:pPr>
            <w:r>
              <w:rPr>
                <w:rFonts w:ascii="Arial" w:eastAsia="DengXian" w:hAnsi="Arial" w:cs="Arial"/>
                <w:sz w:val="18"/>
                <w:szCs w:val="16"/>
              </w:rPr>
              <w:t>UE indirectly synchronized to GNSS</w:t>
            </w:r>
          </w:p>
          <w:p w14:paraId="6D57E3D8" w14:textId="77777777" w:rsidR="000C20FD" w:rsidRDefault="00866A90">
            <w:pPr>
              <w:numPr>
                <w:ilvl w:val="0"/>
                <w:numId w:val="8"/>
              </w:numPr>
              <w:tabs>
                <w:tab w:val="left" w:pos="284"/>
              </w:tabs>
              <w:spacing w:beforeLines="50" w:before="120" w:afterLines="50" w:after="120" w:line="276" w:lineRule="auto"/>
              <w:ind w:hanging="720"/>
              <w:rPr>
                <w:rFonts w:ascii="Arial" w:eastAsia="DengXian" w:hAnsi="Arial" w:cs="Arial"/>
                <w:sz w:val="18"/>
                <w:szCs w:val="16"/>
              </w:rPr>
            </w:pPr>
            <w:r>
              <w:rPr>
                <w:rFonts w:ascii="Arial" w:eastAsia="DengXian" w:hAnsi="Arial" w:cs="Arial"/>
                <w:sz w:val="18"/>
                <w:szCs w:val="16"/>
              </w:rPr>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5FCCBA2C" w14:textId="77777777" w:rsidR="000C20FD" w:rsidRDefault="00866A90">
            <w:pPr>
              <w:numPr>
                <w:ilvl w:val="0"/>
                <w:numId w:val="8"/>
              </w:numPr>
              <w:tabs>
                <w:tab w:val="left" w:pos="317"/>
              </w:tabs>
              <w:spacing w:beforeLines="50" w:before="120" w:afterLines="50" w:after="120" w:line="276" w:lineRule="auto"/>
              <w:ind w:left="317" w:hanging="283"/>
              <w:rPr>
                <w:rFonts w:ascii="Arial" w:eastAsia="DengXian" w:hAnsi="Arial" w:cs="Arial"/>
                <w:sz w:val="18"/>
                <w:szCs w:val="16"/>
              </w:rPr>
            </w:pPr>
            <w:r>
              <w:rPr>
                <w:rFonts w:ascii="Arial" w:eastAsia="DengXian" w:hAnsi="Arial" w:cs="Arial"/>
                <w:sz w:val="18"/>
                <w:szCs w:val="16"/>
              </w:rPr>
              <w:t>P0: gNB/eNB</w:t>
            </w:r>
          </w:p>
          <w:p w14:paraId="4C0F089E" w14:textId="77777777" w:rsidR="000C20FD" w:rsidRDefault="00866A90">
            <w:pPr>
              <w:numPr>
                <w:ilvl w:val="0"/>
                <w:numId w:val="8"/>
              </w:numPr>
              <w:tabs>
                <w:tab w:val="left" w:pos="317"/>
              </w:tabs>
              <w:spacing w:beforeLines="50" w:before="120" w:afterLines="50" w:after="120" w:line="276" w:lineRule="auto"/>
              <w:ind w:left="317" w:hanging="283"/>
              <w:rPr>
                <w:rFonts w:ascii="Arial" w:eastAsia="DengXian" w:hAnsi="Arial" w:cs="Arial"/>
                <w:sz w:val="18"/>
                <w:szCs w:val="16"/>
              </w:rPr>
            </w:pPr>
            <w:r>
              <w:rPr>
                <w:rFonts w:ascii="Arial" w:eastAsia="DengXian" w:hAnsi="Arial" w:cs="Arial"/>
                <w:sz w:val="18"/>
                <w:szCs w:val="16"/>
              </w:rPr>
              <w:t xml:space="preserve">P1’: UE directly synchronized to gNB/eNB </w:t>
            </w:r>
          </w:p>
          <w:p w14:paraId="77CA7F0B" w14:textId="77777777" w:rsidR="000C20FD" w:rsidRDefault="00866A90">
            <w:pPr>
              <w:numPr>
                <w:ilvl w:val="0"/>
                <w:numId w:val="8"/>
              </w:numPr>
              <w:tabs>
                <w:tab w:val="left" w:pos="317"/>
              </w:tabs>
              <w:spacing w:beforeLines="50" w:before="120" w:afterLines="50" w:after="120" w:line="276" w:lineRule="auto"/>
              <w:ind w:left="317" w:hanging="283"/>
              <w:rPr>
                <w:rFonts w:ascii="Arial" w:eastAsia="DengXian" w:hAnsi="Arial" w:cs="Arial"/>
                <w:sz w:val="18"/>
                <w:szCs w:val="16"/>
              </w:rPr>
            </w:pPr>
            <w:r>
              <w:rPr>
                <w:rFonts w:ascii="Arial" w:eastAsia="DengXian" w:hAnsi="Arial" w:cs="Arial"/>
                <w:sz w:val="18"/>
                <w:szCs w:val="16"/>
              </w:rPr>
              <w:t xml:space="preserve">P2’: UE indirectly synchronized to gNB/eNB </w:t>
            </w:r>
          </w:p>
          <w:p w14:paraId="2E78CD8C" w14:textId="77777777" w:rsidR="000C20FD" w:rsidRDefault="00866A90">
            <w:pPr>
              <w:numPr>
                <w:ilvl w:val="0"/>
                <w:numId w:val="8"/>
              </w:numPr>
              <w:tabs>
                <w:tab w:val="left" w:pos="317"/>
              </w:tabs>
              <w:spacing w:beforeLines="50" w:before="120" w:afterLines="50" w:after="120" w:line="276" w:lineRule="auto"/>
              <w:ind w:left="317" w:hanging="283"/>
              <w:rPr>
                <w:rFonts w:ascii="Arial" w:eastAsia="DengXian" w:hAnsi="Arial" w:cs="Arial"/>
                <w:sz w:val="18"/>
                <w:szCs w:val="16"/>
              </w:rPr>
            </w:pPr>
            <w:r>
              <w:rPr>
                <w:rFonts w:ascii="Arial" w:eastAsia="DengXian" w:hAnsi="Arial" w:cs="Arial"/>
                <w:sz w:val="18"/>
                <w:szCs w:val="16"/>
              </w:rPr>
              <w:t xml:space="preserve">P3’: GNSS </w:t>
            </w:r>
          </w:p>
          <w:p w14:paraId="6B7233C5" w14:textId="77777777" w:rsidR="000C20FD" w:rsidRDefault="00866A90">
            <w:pPr>
              <w:numPr>
                <w:ilvl w:val="0"/>
                <w:numId w:val="8"/>
              </w:numPr>
              <w:tabs>
                <w:tab w:val="left" w:pos="317"/>
              </w:tabs>
              <w:spacing w:beforeLines="50" w:before="120" w:afterLines="50" w:after="120" w:line="276" w:lineRule="auto"/>
              <w:ind w:left="317" w:hanging="283"/>
              <w:rPr>
                <w:rFonts w:ascii="Arial" w:eastAsia="DengXian" w:hAnsi="Arial" w:cs="Arial"/>
                <w:sz w:val="18"/>
                <w:szCs w:val="16"/>
              </w:rPr>
            </w:pPr>
            <w:r>
              <w:rPr>
                <w:rFonts w:ascii="Arial" w:eastAsia="DengXian" w:hAnsi="Arial" w:cs="Arial"/>
                <w:sz w:val="18"/>
                <w:szCs w:val="16"/>
              </w:rPr>
              <w:t xml:space="preserve">P4’: UE directly synchronized to GNSS </w:t>
            </w:r>
          </w:p>
          <w:p w14:paraId="17390A73" w14:textId="77777777" w:rsidR="000C20FD" w:rsidRDefault="00866A90">
            <w:pPr>
              <w:numPr>
                <w:ilvl w:val="0"/>
                <w:numId w:val="8"/>
              </w:numPr>
              <w:tabs>
                <w:tab w:val="left" w:pos="317"/>
              </w:tabs>
              <w:spacing w:beforeLines="50" w:before="120" w:afterLines="50" w:after="120" w:line="276" w:lineRule="auto"/>
              <w:ind w:left="317" w:hanging="283"/>
              <w:rPr>
                <w:rFonts w:ascii="Arial" w:eastAsia="DengXian" w:hAnsi="Arial" w:cs="Arial"/>
                <w:sz w:val="18"/>
                <w:szCs w:val="16"/>
              </w:rPr>
            </w:pPr>
            <w:r>
              <w:rPr>
                <w:rFonts w:ascii="Arial" w:eastAsia="DengXian" w:hAnsi="Arial" w:cs="Arial"/>
                <w:sz w:val="18"/>
                <w:szCs w:val="16"/>
              </w:rPr>
              <w:t>P5’: UE indirectly synchronized to GNSS</w:t>
            </w:r>
          </w:p>
          <w:p w14:paraId="02529740" w14:textId="77777777" w:rsidR="000C20FD" w:rsidRDefault="00866A90">
            <w:pPr>
              <w:numPr>
                <w:ilvl w:val="0"/>
                <w:numId w:val="8"/>
              </w:numPr>
              <w:tabs>
                <w:tab w:val="left" w:pos="317"/>
              </w:tabs>
              <w:spacing w:beforeLines="50" w:before="120" w:afterLines="50" w:after="120" w:line="276" w:lineRule="auto"/>
              <w:ind w:left="317" w:hanging="283"/>
              <w:rPr>
                <w:rFonts w:ascii="Arial" w:eastAsia="DengXian" w:hAnsi="Arial" w:cs="Arial"/>
                <w:sz w:val="18"/>
                <w:szCs w:val="16"/>
              </w:rPr>
            </w:pPr>
            <w:r>
              <w:rPr>
                <w:rFonts w:ascii="Arial" w:eastAsia="DengXian" w:hAnsi="Arial" w:cs="Arial"/>
                <w:sz w:val="18"/>
                <w:szCs w:val="16"/>
              </w:rPr>
              <w:t xml:space="preserve">P6’: the remaining UEs have the lowest priority. </w:t>
            </w:r>
          </w:p>
        </w:tc>
      </w:tr>
    </w:tbl>
    <w:p w14:paraId="3865AD2A" w14:textId="77777777" w:rsidR="000C20FD" w:rsidRDefault="00866A90">
      <w:pPr>
        <w:spacing w:before="120" w:afterLines="50" w:after="120" w:line="260" w:lineRule="auto"/>
        <w:rPr>
          <w:sz w:val="20"/>
        </w:rPr>
      </w:pPr>
      <w:r>
        <w:rPr>
          <w:sz w:val="20"/>
          <w:highlight w:val="green"/>
        </w:rPr>
        <w:t>Agreements</w:t>
      </w:r>
      <w:r>
        <w:rPr>
          <w:sz w:val="20"/>
        </w:rPr>
        <w:t>:</w:t>
      </w:r>
    </w:p>
    <w:p w14:paraId="2FB10118" w14:textId="77777777" w:rsidR="000C20FD" w:rsidRDefault="00866A90">
      <w:pPr>
        <w:numPr>
          <w:ilvl w:val="0"/>
          <w:numId w:val="9"/>
        </w:numPr>
        <w:spacing w:afterLines="50" w:after="120" w:line="260" w:lineRule="auto"/>
        <w:rPr>
          <w:sz w:val="20"/>
        </w:rPr>
      </w:pPr>
      <w:r>
        <w:rPr>
          <w:sz w:val="20"/>
        </w:rPr>
        <w:t>NR V2X supports using a sidelink RS for synchronization purpose</w:t>
      </w:r>
    </w:p>
    <w:p w14:paraId="3483D195" w14:textId="77777777" w:rsidR="000C20FD" w:rsidRDefault="00866A90">
      <w:pPr>
        <w:numPr>
          <w:ilvl w:val="1"/>
          <w:numId w:val="9"/>
        </w:numPr>
        <w:spacing w:afterLines="50" w:after="120" w:line="260" w:lineRule="auto"/>
        <w:rPr>
          <w:sz w:val="20"/>
        </w:rPr>
      </w:pPr>
      <w:r>
        <w:rPr>
          <w:sz w:val="20"/>
        </w:rPr>
        <w:t>Applicable only on unlicensed (ITS) carrier with no network deployment on this carrier</w:t>
      </w:r>
    </w:p>
    <w:p w14:paraId="400C0F21" w14:textId="77777777" w:rsidR="000C20FD" w:rsidRDefault="00866A90">
      <w:pPr>
        <w:numPr>
          <w:ilvl w:val="1"/>
          <w:numId w:val="9"/>
        </w:numPr>
        <w:spacing w:afterLines="50" w:after="120" w:line="260" w:lineRule="auto"/>
        <w:rPr>
          <w:sz w:val="20"/>
        </w:rPr>
      </w:pPr>
      <w:r>
        <w:rPr>
          <w:sz w:val="20"/>
        </w:rPr>
        <w:lastRenderedPageBreak/>
        <w:t xml:space="preserve">This RS is not a standalone RS and not part of SLSS.  </w:t>
      </w:r>
    </w:p>
    <w:p w14:paraId="29AD4233" w14:textId="77777777" w:rsidR="000C20FD" w:rsidRDefault="00866A90">
      <w:pPr>
        <w:numPr>
          <w:ilvl w:val="1"/>
          <w:numId w:val="9"/>
        </w:numPr>
        <w:spacing w:afterLines="50" w:after="120" w:line="260" w:lineRule="auto"/>
        <w:rPr>
          <w:sz w:val="20"/>
        </w:rPr>
      </w:pPr>
      <w:r>
        <w:rPr>
          <w:sz w:val="20"/>
        </w:rPr>
        <w:t>This RS will not appear in the synchronization procedure for the selection of sync sources.</w:t>
      </w:r>
    </w:p>
    <w:p w14:paraId="76D176DD" w14:textId="77777777" w:rsidR="000C20FD" w:rsidRDefault="00866A90">
      <w:pPr>
        <w:numPr>
          <w:ilvl w:val="1"/>
          <w:numId w:val="9"/>
        </w:numPr>
        <w:spacing w:afterLines="50" w:after="120" w:line="260" w:lineRule="auto"/>
        <w:rPr>
          <w:sz w:val="20"/>
        </w:rPr>
      </w:pPr>
      <w:r>
        <w:rPr>
          <w:sz w:val="20"/>
        </w:rPr>
        <w:t>RS used for the synchronization purpose would not impact any sidelink RS design</w:t>
      </w:r>
    </w:p>
    <w:p w14:paraId="5CCA0268" w14:textId="77777777" w:rsidR="000C20FD" w:rsidRDefault="00866A90">
      <w:pPr>
        <w:numPr>
          <w:ilvl w:val="1"/>
          <w:numId w:val="9"/>
        </w:numPr>
        <w:spacing w:afterLines="50" w:after="120" w:line="260" w:lineRule="auto"/>
        <w:rPr>
          <w:sz w:val="20"/>
        </w:rPr>
      </w:pPr>
      <w:r>
        <w:rPr>
          <w:sz w:val="20"/>
        </w:rPr>
        <w:t>FFS:  Whether this RS is DM RS or other RS</w:t>
      </w:r>
    </w:p>
    <w:p w14:paraId="4CCB2F04" w14:textId="77777777" w:rsidR="000C20FD" w:rsidRDefault="00866A90">
      <w:pPr>
        <w:numPr>
          <w:ilvl w:val="1"/>
          <w:numId w:val="9"/>
        </w:numPr>
        <w:spacing w:afterLines="50" w:after="120" w:line="260" w:lineRule="auto"/>
        <w:rPr>
          <w:sz w:val="20"/>
        </w:rPr>
      </w:pPr>
      <w:r>
        <w:rPr>
          <w:sz w:val="20"/>
        </w:rPr>
        <w:t xml:space="preserve">FFS: Whether this could be achieved by UE implementation </w:t>
      </w:r>
    </w:p>
    <w:p w14:paraId="29D78120" w14:textId="77777777" w:rsidR="000C20FD" w:rsidRDefault="00866A90">
      <w:pPr>
        <w:numPr>
          <w:ilvl w:val="1"/>
          <w:numId w:val="9"/>
        </w:numPr>
        <w:spacing w:afterLines="50" w:after="120" w:line="260" w:lineRule="auto"/>
        <w:rPr>
          <w:sz w:val="20"/>
        </w:rPr>
      </w:pPr>
      <w:r>
        <w:rPr>
          <w:sz w:val="20"/>
        </w:rPr>
        <w:t xml:space="preserve">FFS: Specification impact </w:t>
      </w:r>
    </w:p>
    <w:p w14:paraId="4B8165D7" w14:textId="77777777" w:rsidR="000C20FD" w:rsidRDefault="00866A90">
      <w:pPr>
        <w:snapToGrid w:val="0"/>
        <w:spacing w:afterLines="50" w:after="120" w:line="260" w:lineRule="auto"/>
        <w:rPr>
          <w:sz w:val="20"/>
        </w:rPr>
      </w:pPr>
      <w:r>
        <w:rPr>
          <w:rFonts w:hint="eastAsia"/>
          <w:sz w:val="20"/>
        </w:rPr>
        <w:t xml:space="preserve">In this </w:t>
      </w:r>
      <w:r>
        <w:rPr>
          <w:sz w:val="20"/>
        </w:rPr>
        <w:t xml:space="preserve">contribution, we mainly discuss </w:t>
      </w:r>
      <w:bookmarkStart w:id="1" w:name="OLE_LINK5"/>
      <w:r>
        <w:rPr>
          <w:rFonts w:hint="eastAsia"/>
          <w:sz w:val="20"/>
        </w:rPr>
        <w:t xml:space="preserve">some </w:t>
      </w:r>
      <w:r>
        <w:rPr>
          <w:sz w:val="20"/>
        </w:rPr>
        <w:t>of</w:t>
      </w:r>
      <w:r>
        <w:rPr>
          <w:rFonts w:hint="eastAsia"/>
          <w:sz w:val="20"/>
        </w:rPr>
        <w:t xml:space="preserve"> </w:t>
      </w:r>
      <w:r>
        <w:rPr>
          <w:sz w:val="20"/>
        </w:rPr>
        <w:t xml:space="preserve">above </w:t>
      </w:r>
      <w:r>
        <w:rPr>
          <w:rFonts w:hint="eastAsia"/>
          <w:sz w:val="20"/>
        </w:rPr>
        <w:t>aspects for NR V2X synchronization</w:t>
      </w:r>
      <w:r>
        <w:rPr>
          <w:sz w:val="20"/>
        </w:rPr>
        <w:t>.</w:t>
      </w:r>
      <w:bookmarkEnd w:id="1"/>
    </w:p>
    <w:p w14:paraId="3E2CD24E" w14:textId="77777777" w:rsidR="000C20FD" w:rsidRDefault="00866A90">
      <w:pPr>
        <w:pStyle w:val="Heading1"/>
        <w:adjustRightInd w:val="0"/>
        <w:snapToGrid w:val="0"/>
        <w:spacing w:afterLines="50" w:after="120" w:line="260" w:lineRule="auto"/>
        <w:ind w:left="0"/>
      </w:pPr>
      <w:r>
        <w:rPr>
          <w:rFonts w:hint="eastAsia"/>
        </w:rPr>
        <w:t>Discussion</w:t>
      </w:r>
      <w:r>
        <w:t>s</w:t>
      </w:r>
      <w:r>
        <w:rPr>
          <w:rFonts w:hint="eastAsia"/>
        </w:rPr>
        <w:t xml:space="preserve"> </w:t>
      </w:r>
    </w:p>
    <w:p w14:paraId="588CD513" w14:textId="77777777" w:rsidR="000C20FD" w:rsidRDefault="00866A90">
      <w:pPr>
        <w:pStyle w:val="Heading2"/>
        <w:adjustRightInd w:val="0"/>
        <w:snapToGrid w:val="0"/>
        <w:spacing w:before="0" w:afterLines="50" w:after="120" w:line="260" w:lineRule="auto"/>
        <w:ind w:left="991" w:right="210" w:hangingChars="354" w:hanging="991"/>
        <w:rPr>
          <w:szCs w:val="22"/>
        </w:rPr>
      </w:pPr>
      <w:r>
        <w:rPr>
          <w:rFonts w:hint="eastAsia"/>
        </w:rPr>
        <w:t>Sidelink synchronization signal/channel</w:t>
      </w:r>
    </w:p>
    <w:p w14:paraId="2DD71278" w14:textId="77777777" w:rsidR="000C20FD" w:rsidRDefault="00866A90">
      <w:pPr>
        <w:adjustRightInd w:val="0"/>
        <w:snapToGrid w:val="0"/>
        <w:spacing w:afterLines="50" w:after="120" w:line="260" w:lineRule="auto"/>
        <w:rPr>
          <w:sz w:val="20"/>
        </w:rPr>
      </w:pPr>
      <w:r>
        <w:rPr>
          <w:rFonts w:hint="eastAsia"/>
          <w:i/>
          <w:iCs/>
          <w:sz w:val="24"/>
          <w:szCs w:val="24"/>
          <w:u w:val="single"/>
        </w:rPr>
        <w:t>PSBCH evaluation</w:t>
      </w:r>
    </w:p>
    <w:p w14:paraId="2EEC53E5" w14:textId="77777777" w:rsidR="000C20FD" w:rsidRDefault="00866A90">
      <w:pPr>
        <w:snapToGrid w:val="0"/>
        <w:spacing w:afterLines="50" w:after="120" w:line="260" w:lineRule="auto"/>
        <w:rPr>
          <w:rFonts w:eastAsia="DengXian"/>
          <w:sz w:val="20"/>
        </w:rPr>
      </w:pPr>
      <w:r>
        <w:rPr>
          <w:rFonts w:hint="eastAsia"/>
          <w:sz w:val="20"/>
        </w:rPr>
        <w:t xml:space="preserve">At RAN1 #96bis meeting, it is agreed that PSBCH spans 11 PRBs (equal to S-SSB bandwidth). It means that the number of symbols for PSBCH and the designing of DMRS for PSBCH need to be designed further. The </w:t>
      </w:r>
      <w:r>
        <w:rPr>
          <w:rFonts w:eastAsia="DengXian" w:hint="eastAsia"/>
          <w:sz w:val="20"/>
        </w:rPr>
        <w:t xml:space="preserve">evaluation of PSBCH performance shall be helpful to considering PSBCH/DMRS. For this evaluation, it is agreed that the payload size of NR V2X PSBCH is 56 bits including 24 bits of CRC which is the same with NR PBCH. </w:t>
      </w:r>
    </w:p>
    <w:p w14:paraId="3B5B4AEA" w14:textId="77777777" w:rsidR="002E7C7E" w:rsidRDefault="00866A90">
      <w:pPr>
        <w:snapToGrid w:val="0"/>
        <w:spacing w:afterLines="50" w:after="120" w:line="260" w:lineRule="auto"/>
        <w:rPr>
          <w:rFonts w:eastAsia="DengXian"/>
        </w:rPr>
      </w:pPr>
      <w:r>
        <w:rPr>
          <w:rFonts w:eastAsia="DengXian" w:hint="eastAsia"/>
          <w:sz w:val="20"/>
        </w:rPr>
        <w:t>Considering the same level of channel coding rate with NR PBCH, we evaluate PSBCH performa</w:t>
      </w:r>
      <w:r w:rsidR="002E7C7E">
        <w:rPr>
          <w:rFonts w:eastAsia="DengXian" w:hint="eastAsia"/>
          <w:sz w:val="20"/>
        </w:rPr>
        <w:t>nce with 6 symbol</w:t>
      </w:r>
      <w:r>
        <w:rPr>
          <w:rFonts w:eastAsia="DengXian" w:hint="eastAsia"/>
          <w:sz w:val="20"/>
        </w:rPr>
        <w:t>s for PSBCH (more symbols can improve PSBCH performance further), including the following three cases. Other simulation assumptions can be seen in Appendix A.</w:t>
      </w:r>
      <w:r>
        <w:rPr>
          <w:rFonts w:eastAsia="DengXian" w:hint="eastAsia"/>
        </w:rPr>
        <w:t xml:space="preserve"> </w:t>
      </w:r>
    </w:p>
    <w:p w14:paraId="3855BADD" w14:textId="77777777" w:rsidR="00F83B8C" w:rsidRDefault="00F83B8C" w:rsidP="00F83B8C">
      <w:pPr>
        <w:numPr>
          <w:ilvl w:val="0"/>
          <w:numId w:val="10"/>
        </w:numPr>
        <w:spacing w:before="156"/>
        <w:ind w:left="1080"/>
        <w:rPr>
          <w:rFonts w:eastAsia="DengXian"/>
        </w:rPr>
      </w:pPr>
      <w:r>
        <w:rPr>
          <w:rFonts w:eastAsia="DengXian" w:hint="eastAsia"/>
        </w:rPr>
        <w:t>Case 1</w:t>
      </w:r>
      <w:r>
        <w:rPr>
          <w:rFonts w:eastAsia="DengXian"/>
        </w:rPr>
        <w:t xml:space="preserve"> (FDM)</w:t>
      </w:r>
      <w:r>
        <w:rPr>
          <w:rFonts w:eastAsia="DengXian" w:hint="eastAsia"/>
        </w:rPr>
        <w:t xml:space="preserve">: DMRS maps </w:t>
      </w:r>
      <w:r>
        <w:rPr>
          <w:rFonts w:eastAsia="DengXian"/>
        </w:rPr>
        <w:t xml:space="preserve">to one of </w:t>
      </w:r>
      <w:r>
        <w:rPr>
          <w:rFonts w:eastAsia="DengXian" w:hint="eastAsia"/>
        </w:rPr>
        <w:t xml:space="preserve">every 4 subcarriers </w:t>
      </w:r>
      <w:r>
        <w:rPr>
          <w:rFonts w:eastAsia="DengXian"/>
        </w:rPr>
        <w:t xml:space="preserve">in </w:t>
      </w:r>
      <w:r>
        <w:rPr>
          <w:rFonts w:eastAsia="DengXian" w:hint="eastAsia"/>
        </w:rPr>
        <w:t>every symbols.</w:t>
      </w:r>
      <w:r>
        <w:rPr>
          <w:rFonts w:eastAsia="DengXian"/>
        </w:rPr>
        <w:t xml:space="preserve"> </w:t>
      </w:r>
    </w:p>
    <w:p w14:paraId="4BEE918B" w14:textId="77777777" w:rsidR="00F83B8C" w:rsidRDefault="00F83B8C" w:rsidP="00F83B8C">
      <w:pPr>
        <w:numPr>
          <w:ilvl w:val="0"/>
          <w:numId w:val="10"/>
        </w:numPr>
        <w:spacing w:before="156"/>
        <w:ind w:left="1080"/>
        <w:rPr>
          <w:rFonts w:eastAsia="DengXian"/>
        </w:rPr>
      </w:pPr>
      <w:r>
        <w:rPr>
          <w:rFonts w:eastAsia="DengXian" w:hint="eastAsia"/>
        </w:rPr>
        <w:t>Case 2</w:t>
      </w:r>
      <w:r>
        <w:rPr>
          <w:rFonts w:eastAsia="DengXian"/>
        </w:rPr>
        <w:t xml:space="preserve"> (TDM)</w:t>
      </w:r>
      <w:r>
        <w:rPr>
          <w:rFonts w:eastAsia="DengXian" w:hint="eastAsia"/>
        </w:rPr>
        <w:t xml:space="preserve">: DMRS maps to </w:t>
      </w:r>
      <w:r>
        <w:rPr>
          <w:rFonts w:eastAsia="DengXian"/>
        </w:rPr>
        <w:t xml:space="preserve">every subcarriers in </w:t>
      </w:r>
      <w:r>
        <w:rPr>
          <w:rFonts w:eastAsia="DengXian" w:hint="eastAsia"/>
        </w:rPr>
        <w:t>2 out of 6 symbols</w:t>
      </w:r>
      <w:r>
        <w:rPr>
          <w:rFonts w:eastAsia="DengXian"/>
        </w:rPr>
        <w:t xml:space="preserve">. </w:t>
      </w:r>
    </w:p>
    <w:p w14:paraId="1A52527F" w14:textId="77777777" w:rsidR="00F83B8C" w:rsidRPr="00F83B8C" w:rsidRDefault="00F83B8C" w:rsidP="00F83B8C">
      <w:pPr>
        <w:numPr>
          <w:ilvl w:val="0"/>
          <w:numId w:val="10"/>
        </w:numPr>
        <w:spacing w:before="156"/>
        <w:ind w:left="1080"/>
        <w:rPr>
          <w:rFonts w:eastAsia="DengXian"/>
        </w:rPr>
      </w:pPr>
      <w:r>
        <w:rPr>
          <w:rFonts w:eastAsia="DengXian" w:hint="eastAsia"/>
        </w:rPr>
        <w:t>Case 3</w:t>
      </w:r>
      <w:r>
        <w:rPr>
          <w:rFonts w:eastAsia="DengXian"/>
        </w:rPr>
        <w:t xml:space="preserve"> (FDM+TDM)</w:t>
      </w:r>
      <w:r>
        <w:rPr>
          <w:rFonts w:eastAsia="DengXian" w:hint="eastAsia"/>
        </w:rPr>
        <w:t xml:space="preserve">: DMRS maps </w:t>
      </w:r>
      <w:r>
        <w:rPr>
          <w:rFonts w:eastAsia="DengXian"/>
        </w:rPr>
        <w:t xml:space="preserve">to one of </w:t>
      </w:r>
      <w:r>
        <w:rPr>
          <w:rFonts w:eastAsia="DengXian" w:hint="eastAsia"/>
        </w:rPr>
        <w:t xml:space="preserve">every 4 subcarriers in 3 </w:t>
      </w:r>
      <w:r>
        <w:rPr>
          <w:rFonts w:eastAsia="DengXian"/>
        </w:rPr>
        <w:t xml:space="preserve">out of 6 </w:t>
      </w:r>
      <w:r>
        <w:rPr>
          <w:rFonts w:eastAsia="DengXian" w:hint="eastAsia"/>
        </w:rPr>
        <w:t>sym</w:t>
      </w:r>
      <w:r>
        <w:rPr>
          <w:rFonts w:eastAsia="DengXian"/>
        </w:rPr>
        <w:t>b</w:t>
      </w:r>
      <w:r>
        <w:rPr>
          <w:rFonts w:eastAsia="DengXian" w:hint="eastAsia"/>
        </w:rPr>
        <w:t>ol</w:t>
      </w:r>
      <w:r>
        <w:rPr>
          <w:rFonts w:eastAsia="DengXian"/>
        </w:rPr>
        <w:t xml:space="preserve">s. </w:t>
      </w:r>
    </w:p>
    <w:p w14:paraId="6333932C" w14:textId="77777777" w:rsidR="000C20FD" w:rsidRDefault="002E7C7E" w:rsidP="002E7C7E">
      <w:pPr>
        <w:snapToGrid w:val="0"/>
        <w:spacing w:afterLines="50" w:after="120" w:line="260" w:lineRule="auto"/>
        <w:jc w:val="center"/>
      </w:pPr>
      <w:r>
        <w:object w:dxaOrig="3442" w:dyaOrig="3219" w14:anchorId="6F941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146.95pt" o:ole="">
            <v:imagedata r:id="rId8" o:title=""/>
          </v:shape>
          <o:OLEObject Type="Embed" ProgID="Visio.Drawing.11" ShapeID="_x0000_i1025" DrawAspect="Content" ObjectID="_1618365246" r:id="rId9"/>
        </w:object>
      </w:r>
      <w:r>
        <w:object w:dxaOrig="3370" w:dyaOrig="3151" w14:anchorId="1FA4088B">
          <v:shape id="_x0000_i1026" type="#_x0000_t75" style="width:159.05pt;height:148.6pt" o:ole="">
            <v:imagedata r:id="rId10" o:title=""/>
          </v:shape>
          <o:OLEObject Type="Embed" ProgID="Visio.Drawing.11" ShapeID="_x0000_i1026" DrawAspect="Content" ObjectID="_1618365247" r:id="rId11"/>
        </w:object>
      </w:r>
      <w:r>
        <w:object w:dxaOrig="3431" w:dyaOrig="3219" w14:anchorId="72E86E78">
          <v:shape id="_x0000_i1027" type="#_x0000_t75" style="width:159.05pt;height:149pt" o:ole="">
            <v:imagedata r:id="rId12" o:title=""/>
          </v:shape>
          <o:OLEObject Type="Embed" ProgID="Visio.Drawing.11" ShapeID="_x0000_i1027" DrawAspect="Content" ObjectID="_1618365248" r:id="rId13"/>
        </w:object>
      </w:r>
    </w:p>
    <w:p w14:paraId="4CA1F24C" w14:textId="1A9835DC" w:rsidR="00F83B8C" w:rsidRPr="00F83B8C" w:rsidRDefault="00F83B8C" w:rsidP="00F83B8C">
      <w:pPr>
        <w:pStyle w:val="ListParagraph"/>
        <w:numPr>
          <w:ilvl w:val="0"/>
          <w:numId w:val="14"/>
        </w:numPr>
        <w:spacing w:before="156"/>
        <w:ind w:left="1170"/>
        <w:jc w:val="left"/>
        <w:rPr>
          <w:rFonts w:eastAsia="DengXian"/>
          <w:sz w:val="20"/>
          <w:szCs w:val="20"/>
        </w:rPr>
      </w:pPr>
      <w:r w:rsidRPr="00F83B8C">
        <w:rPr>
          <w:sz w:val="20"/>
          <w:szCs w:val="20"/>
        </w:rPr>
        <w:t xml:space="preserve">Case 1             </w:t>
      </w:r>
      <w:r>
        <w:rPr>
          <w:sz w:val="20"/>
          <w:szCs w:val="20"/>
        </w:rPr>
        <w:t xml:space="preserve">      </w:t>
      </w:r>
      <w:r w:rsidR="0032133C">
        <w:rPr>
          <w:sz w:val="20"/>
          <w:szCs w:val="20"/>
        </w:rPr>
        <w:t xml:space="preserve">   </w:t>
      </w:r>
      <w:r w:rsidRPr="00F83B8C">
        <w:rPr>
          <w:sz w:val="20"/>
          <w:szCs w:val="20"/>
        </w:rPr>
        <w:t xml:space="preserve"> (b) Case 2               </w:t>
      </w:r>
      <w:r>
        <w:rPr>
          <w:sz w:val="20"/>
          <w:szCs w:val="20"/>
        </w:rPr>
        <w:t xml:space="preserve">       </w:t>
      </w:r>
      <w:r w:rsidR="0032133C">
        <w:rPr>
          <w:sz w:val="20"/>
          <w:szCs w:val="20"/>
        </w:rPr>
        <w:t xml:space="preserve"> </w:t>
      </w:r>
      <w:r w:rsidRPr="00F83B8C">
        <w:rPr>
          <w:sz w:val="20"/>
          <w:szCs w:val="20"/>
        </w:rPr>
        <w:t xml:space="preserve"> (c) Case 3</w:t>
      </w:r>
    </w:p>
    <w:p w14:paraId="7BD93C5A" w14:textId="77777777" w:rsidR="002E7C7E" w:rsidRDefault="002E7C7E" w:rsidP="002E7C7E">
      <w:pPr>
        <w:numPr>
          <w:ilvl w:val="255"/>
          <w:numId w:val="0"/>
        </w:numPr>
        <w:spacing w:before="156"/>
        <w:jc w:val="center"/>
        <w:rPr>
          <w:rFonts w:eastAsia="DengXian"/>
        </w:rPr>
      </w:pPr>
      <w:r>
        <w:rPr>
          <w:rFonts w:eastAsia="DengXian" w:hint="eastAsia"/>
        </w:rPr>
        <w:t xml:space="preserve">Fig. 1 PSBCH </w:t>
      </w:r>
      <w:r>
        <w:rPr>
          <w:rFonts w:eastAsia="DengXian"/>
        </w:rPr>
        <w:t>DMRS patterns for</w:t>
      </w:r>
      <w:r>
        <w:rPr>
          <w:rFonts w:eastAsia="DengXian" w:hint="eastAsia"/>
        </w:rPr>
        <w:t xml:space="preserve"> evaluation</w:t>
      </w:r>
    </w:p>
    <w:p w14:paraId="5B2D3451" w14:textId="40FDA39E" w:rsidR="0032133C" w:rsidRDefault="00F64174" w:rsidP="0032133C">
      <w:pPr>
        <w:adjustRightInd w:val="0"/>
        <w:snapToGrid w:val="0"/>
        <w:spacing w:afterLines="50" w:after="120" w:line="260" w:lineRule="auto"/>
        <w:rPr>
          <w:rFonts w:eastAsia="DengXian"/>
          <w:sz w:val="20"/>
        </w:rPr>
      </w:pPr>
      <w:r>
        <w:rPr>
          <w:rFonts w:eastAsia="DengXian" w:hint="eastAsia"/>
          <w:sz w:val="20"/>
        </w:rPr>
        <w:t>Fig. 2 and Fig. 3</w:t>
      </w:r>
      <w:r w:rsidR="00866A90">
        <w:rPr>
          <w:rFonts w:eastAsia="DengXian" w:hint="eastAsia"/>
          <w:sz w:val="20"/>
        </w:rPr>
        <w:t xml:space="preserve"> show the results of PSBCH performance for 240 km/h and 500 km/h for 15 kHz SCS. </w:t>
      </w:r>
      <w:r w:rsidR="0032133C">
        <w:rPr>
          <w:rFonts w:eastAsia="DengXian" w:hint="eastAsia"/>
          <w:sz w:val="20"/>
        </w:rPr>
        <w:t xml:space="preserve">We also evaluate PSBCH performance for more cases </w:t>
      </w:r>
      <w:r w:rsidR="0032133C">
        <w:rPr>
          <w:rFonts w:eastAsia="DengXian"/>
          <w:sz w:val="20"/>
        </w:rPr>
        <w:fldChar w:fldCharType="begin"/>
      </w:r>
      <w:r w:rsidR="0032133C">
        <w:rPr>
          <w:rFonts w:eastAsia="DengXian"/>
          <w:sz w:val="20"/>
        </w:rPr>
        <w:instrText xml:space="preserve"> </w:instrText>
      </w:r>
      <w:r w:rsidR="0032133C">
        <w:rPr>
          <w:rFonts w:eastAsia="DengXian" w:hint="eastAsia"/>
          <w:sz w:val="20"/>
        </w:rPr>
        <w:instrText>REF _Ref7461547 \r \h</w:instrText>
      </w:r>
      <w:r w:rsidR="0032133C">
        <w:rPr>
          <w:rFonts w:eastAsia="DengXian"/>
          <w:sz w:val="20"/>
        </w:rPr>
        <w:instrText xml:space="preserve"> </w:instrText>
      </w:r>
      <w:r w:rsidR="0032133C">
        <w:rPr>
          <w:rFonts w:eastAsia="DengXian"/>
          <w:sz w:val="20"/>
        </w:rPr>
      </w:r>
      <w:r w:rsidR="0032133C">
        <w:rPr>
          <w:rFonts w:eastAsia="DengXian"/>
          <w:sz w:val="20"/>
        </w:rPr>
        <w:fldChar w:fldCharType="separate"/>
      </w:r>
      <w:r w:rsidR="0032133C">
        <w:rPr>
          <w:rFonts w:eastAsia="DengXian"/>
          <w:sz w:val="20"/>
        </w:rPr>
        <w:t>[3]</w:t>
      </w:r>
      <w:r w:rsidR="0032133C">
        <w:rPr>
          <w:rFonts w:eastAsia="DengXian"/>
          <w:sz w:val="20"/>
        </w:rPr>
        <w:fldChar w:fldCharType="end"/>
      </w:r>
      <w:r w:rsidR="0032133C">
        <w:rPr>
          <w:rFonts w:eastAsia="DengXian"/>
          <w:sz w:val="20"/>
        </w:rPr>
        <w:t xml:space="preserve"> </w:t>
      </w:r>
      <w:r w:rsidR="0032133C">
        <w:rPr>
          <w:rFonts w:eastAsia="DengXian" w:hint="eastAsia"/>
          <w:sz w:val="20"/>
        </w:rPr>
        <w:t>with different carrier frequenc</w:t>
      </w:r>
      <w:r w:rsidR="0032133C">
        <w:rPr>
          <w:rFonts w:eastAsia="DengXian"/>
          <w:sz w:val="20"/>
        </w:rPr>
        <w:t>ies</w:t>
      </w:r>
      <w:r w:rsidR="0032133C">
        <w:rPr>
          <w:rFonts w:eastAsia="DengXian" w:hint="eastAsia"/>
          <w:sz w:val="20"/>
        </w:rPr>
        <w:t>, SCS and speed</w:t>
      </w:r>
      <w:r w:rsidR="0032133C">
        <w:rPr>
          <w:rFonts w:eastAsia="DengXian"/>
          <w:sz w:val="20"/>
        </w:rPr>
        <w:t>s</w:t>
      </w:r>
      <w:r w:rsidR="0032133C">
        <w:rPr>
          <w:rFonts w:eastAsia="DengXian" w:hint="eastAsia"/>
          <w:sz w:val="20"/>
        </w:rPr>
        <w:t>.</w:t>
      </w:r>
    </w:p>
    <w:p w14:paraId="41FED4BD" w14:textId="05ADF91F" w:rsidR="000C20FD" w:rsidRPr="0032133C" w:rsidRDefault="0032133C">
      <w:pPr>
        <w:adjustRightInd w:val="0"/>
        <w:snapToGrid w:val="0"/>
        <w:spacing w:afterLines="50" w:after="120" w:line="260" w:lineRule="auto"/>
        <w:rPr>
          <w:rFonts w:eastAsia="DengXian"/>
          <w:sz w:val="20"/>
        </w:rPr>
      </w:pPr>
      <w:r w:rsidRPr="00561058">
        <w:rPr>
          <w:sz w:val="20"/>
          <w:szCs w:val="22"/>
        </w:rPr>
        <w:t>It can be observed from the results above that case 1 shows obviously better performance than case 2. The main reason</w:t>
      </w:r>
      <w:r>
        <w:rPr>
          <w:sz w:val="20"/>
          <w:szCs w:val="22"/>
        </w:rPr>
        <w:t xml:space="preserve">s </w:t>
      </w:r>
      <w:r w:rsidRPr="00561058">
        <w:rPr>
          <w:sz w:val="20"/>
          <w:szCs w:val="22"/>
        </w:rPr>
        <w:t xml:space="preserve">include two </w:t>
      </w:r>
      <w:r>
        <w:rPr>
          <w:sz w:val="20"/>
          <w:szCs w:val="22"/>
        </w:rPr>
        <w:t>aspects: a) case 1 has lower DMRS overhead and therefore lower channel coding rate than case 2; b)</w:t>
      </w:r>
      <w:r w:rsidRPr="00561058">
        <w:rPr>
          <w:sz w:val="20"/>
          <w:szCs w:val="22"/>
        </w:rPr>
        <w:t xml:space="preserve"> the </w:t>
      </w:r>
      <w:r>
        <w:rPr>
          <w:sz w:val="20"/>
          <w:szCs w:val="22"/>
        </w:rPr>
        <w:t xml:space="preserve">time domain </w:t>
      </w:r>
      <w:r w:rsidRPr="00561058">
        <w:rPr>
          <w:sz w:val="20"/>
          <w:szCs w:val="22"/>
        </w:rPr>
        <w:t xml:space="preserve">density of DMRS </w:t>
      </w:r>
      <w:r>
        <w:rPr>
          <w:sz w:val="20"/>
          <w:szCs w:val="22"/>
        </w:rPr>
        <w:t>in case 2</w:t>
      </w:r>
      <w:r w:rsidRPr="00561058">
        <w:rPr>
          <w:sz w:val="20"/>
          <w:szCs w:val="22"/>
        </w:rPr>
        <w:t xml:space="preserve"> is not </w:t>
      </w:r>
      <w:r>
        <w:rPr>
          <w:sz w:val="20"/>
          <w:szCs w:val="22"/>
        </w:rPr>
        <w:t>high enough to</w:t>
      </w:r>
      <w:r w:rsidRPr="00561058">
        <w:rPr>
          <w:sz w:val="20"/>
          <w:szCs w:val="22"/>
        </w:rPr>
        <w:t xml:space="preserve"> accurately estimate channel. </w:t>
      </w:r>
      <w:r>
        <w:rPr>
          <w:sz w:val="20"/>
          <w:szCs w:val="22"/>
        </w:rPr>
        <w:t>Comparing</w:t>
      </w:r>
      <w:r w:rsidRPr="00561058">
        <w:rPr>
          <w:sz w:val="20"/>
          <w:szCs w:val="22"/>
        </w:rPr>
        <w:t xml:space="preserve"> to case 3, case 1 also </w:t>
      </w:r>
      <w:r w:rsidRPr="00561058">
        <w:rPr>
          <w:sz w:val="20"/>
          <w:szCs w:val="22"/>
        </w:rPr>
        <w:lastRenderedPageBreak/>
        <w:t xml:space="preserve">has a slight performance gain. </w:t>
      </w:r>
      <w:r>
        <w:rPr>
          <w:sz w:val="20"/>
          <w:szCs w:val="22"/>
        </w:rPr>
        <w:t>This is b</w:t>
      </w:r>
      <w:r w:rsidRPr="00561058">
        <w:rPr>
          <w:sz w:val="20"/>
          <w:szCs w:val="22"/>
        </w:rPr>
        <w:t xml:space="preserve">ecause </w:t>
      </w:r>
      <w:r>
        <w:rPr>
          <w:sz w:val="20"/>
          <w:szCs w:val="22"/>
        </w:rPr>
        <w:t>the channel coding rate difference between the two cases is not large, while the performance difference</w:t>
      </w:r>
      <w:r w:rsidRPr="00561058">
        <w:rPr>
          <w:sz w:val="20"/>
          <w:szCs w:val="22"/>
        </w:rPr>
        <w:t xml:space="preserve"> of channel estimation </w:t>
      </w:r>
      <w:r>
        <w:rPr>
          <w:sz w:val="20"/>
          <w:szCs w:val="22"/>
        </w:rPr>
        <w:t>due to different DMRS densities plays a key role</w:t>
      </w:r>
      <w:r w:rsidRPr="00561058">
        <w:rPr>
          <w:sz w:val="20"/>
          <w:szCs w:val="22"/>
        </w:rPr>
        <w:t>.</w:t>
      </w:r>
    </w:p>
    <w:p w14:paraId="68342149" w14:textId="74B65F0B" w:rsidR="000C20FD" w:rsidRDefault="00CB6C9B">
      <w:pPr>
        <w:spacing w:before="156"/>
        <w:jc w:val="center"/>
      </w:pPr>
      <w:r w:rsidRPr="0080174D">
        <w:rPr>
          <w:noProof/>
          <w:sz w:val="20"/>
        </w:rPr>
        <w:drawing>
          <wp:inline distT="0" distB="0" distL="114300" distR="114300" wp14:anchorId="13690E3A" wp14:editId="0DBB9FDD">
            <wp:extent cx="5573485" cy="3219367"/>
            <wp:effectExtent l="0" t="0" r="0" b="63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4"/>
                    <a:stretch>
                      <a:fillRect/>
                    </a:stretch>
                  </pic:blipFill>
                  <pic:spPr>
                    <a:xfrm>
                      <a:off x="0" y="0"/>
                      <a:ext cx="5581396" cy="3223937"/>
                    </a:xfrm>
                    <a:prstGeom prst="rect">
                      <a:avLst/>
                    </a:prstGeom>
                    <a:noFill/>
                    <a:ln w="9525">
                      <a:noFill/>
                    </a:ln>
                  </pic:spPr>
                </pic:pic>
              </a:graphicData>
            </a:graphic>
          </wp:inline>
        </w:drawing>
      </w:r>
    </w:p>
    <w:p w14:paraId="32EDEA6D" w14:textId="77777777" w:rsidR="000C20FD" w:rsidRPr="00F12DF4" w:rsidRDefault="002D7CD7">
      <w:pPr>
        <w:adjustRightInd w:val="0"/>
        <w:snapToGrid w:val="0"/>
        <w:spacing w:afterLines="50" w:after="120" w:line="260" w:lineRule="auto"/>
        <w:jc w:val="center"/>
        <w:rPr>
          <w:sz w:val="20"/>
        </w:rPr>
      </w:pPr>
      <w:r w:rsidRPr="00F12DF4">
        <w:rPr>
          <w:rFonts w:hint="eastAsia"/>
          <w:sz w:val="20"/>
        </w:rPr>
        <w:t>Fig. 2</w:t>
      </w:r>
      <w:r w:rsidR="00866A90" w:rsidRPr="00F12DF4">
        <w:rPr>
          <w:rFonts w:hint="eastAsia"/>
          <w:sz w:val="20"/>
        </w:rPr>
        <w:t xml:space="preserve"> PSBCH decoding performance for 240 km/h </w:t>
      </w:r>
    </w:p>
    <w:p w14:paraId="6C472991" w14:textId="2E8B9164" w:rsidR="000C20FD" w:rsidRDefault="009D308F">
      <w:pPr>
        <w:spacing w:before="156"/>
        <w:jc w:val="center"/>
      </w:pPr>
      <w:r>
        <w:rPr>
          <w:noProof/>
        </w:rPr>
        <w:drawing>
          <wp:inline distT="0" distB="0" distL="114300" distR="114300" wp14:anchorId="3B5580B2" wp14:editId="585699E8">
            <wp:extent cx="5562630" cy="3210296"/>
            <wp:effectExtent l="0" t="0" r="0" b="9525"/>
            <wp:docPr id="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2"/>
                    <pic:cNvPicPr>
                      <a:picLocks noChangeAspect="1"/>
                    </pic:cNvPicPr>
                  </pic:nvPicPr>
                  <pic:blipFill>
                    <a:blip r:embed="rId15"/>
                    <a:stretch>
                      <a:fillRect/>
                    </a:stretch>
                  </pic:blipFill>
                  <pic:spPr>
                    <a:xfrm>
                      <a:off x="0" y="0"/>
                      <a:ext cx="5580493" cy="3220605"/>
                    </a:xfrm>
                    <a:prstGeom prst="rect">
                      <a:avLst/>
                    </a:prstGeom>
                    <a:noFill/>
                    <a:ln w="9525">
                      <a:noFill/>
                    </a:ln>
                  </pic:spPr>
                </pic:pic>
              </a:graphicData>
            </a:graphic>
          </wp:inline>
        </w:drawing>
      </w:r>
    </w:p>
    <w:p w14:paraId="40E89F5E" w14:textId="4C84C7A5" w:rsidR="000C20FD" w:rsidRPr="00F12DF4" w:rsidRDefault="002D7CD7" w:rsidP="00E965B9">
      <w:pPr>
        <w:adjustRightInd w:val="0"/>
        <w:snapToGrid w:val="0"/>
        <w:spacing w:afterLines="50" w:after="120" w:line="260" w:lineRule="auto"/>
        <w:jc w:val="center"/>
        <w:rPr>
          <w:sz w:val="20"/>
        </w:rPr>
      </w:pPr>
      <w:r w:rsidRPr="00F12DF4">
        <w:rPr>
          <w:rFonts w:hint="eastAsia"/>
          <w:sz w:val="20"/>
        </w:rPr>
        <w:t>Fig. 3</w:t>
      </w:r>
      <w:r w:rsidR="00866A90" w:rsidRPr="00F12DF4">
        <w:rPr>
          <w:rFonts w:hint="eastAsia"/>
          <w:sz w:val="20"/>
        </w:rPr>
        <w:t xml:space="preserve"> PSBCH decoding performance for 500 km/h </w:t>
      </w:r>
    </w:p>
    <w:p w14:paraId="3316E832" w14:textId="76E52BCF" w:rsidR="000C31A9" w:rsidRPr="000C31A9" w:rsidRDefault="000C31A9" w:rsidP="000C31A9">
      <w:pPr>
        <w:pStyle w:val="YJ-Observation"/>
        <w:adjustRightInd w:val="0"/>
        <w:snapToGrid w:val="0"/>
        <w:spacing w:before="240" w:afterLines="50" w:after="120" w:line="260" w:lineRule="auto"/>
        <w:rPr>
          <w:lang w:val="en-US" w:eastAsia="zh-CN"/>
        </w:rPr>
      </w:pPr>
      <w:bookmarkStart w:id="2" w:name="_Toc11088"/>
      <w:bookmarkStart w:id="3" w:name="_Toc7474984"/>
      <w:r>
        <w:rPr>
          <w:rFonts w:hint="eastAsia"/>
          <w:lang w:val="en-US" w:eastAsia="zh-CN"/>
        </w:rPr>
        <w:t xml:space="preserve">For PSBCH, FDM </w:t>
      </w:r>
      <w:r>
        <w:rPr>
          <w:lang w:val="en-US" w:eastAsia="zh-CN"/>
        </w:rPr>
        <w:t xml:space="preserve">DMRS pattern </w:t>
      </w:r>
      <w:r>
        <w:rPr>
          <w:rFonts w:hint="eastAsia"/>
          <w:lang w:val="en-US" w:eastAsia="zh-CN"/>
        </w:rPr>
        <w:t>shows better performance than TDM</w:t>
      </w:r>
      <w:r>
        <w:rPr>
          <w:lang w:val="en-US" w:eastAsia="zh-CN"/>
        </w:rPr>
        <w:t xml:space="preserve"> DMRS pattern</w:t>
      </w:r>
      <w:r>
        <w:rPr>
          <w:rFonts w:hint="eastAsia"/>
          <w:lang w:val="en-US" w:eastAsia="zh-CN"/>
        </w:rPr>
        <w:t>.</w:t>
      </w:r>
      <w:bookmarkEnd w:id="2"/>
      <w:bookmarkEnd w:id="3"/>
      <w:r>
        <w:rPr>
          <w:rFonts w:hint="eastAsia"/>
          <w:lang w:val="en-US" w:eastAsia="zh-CN"/>
        </w:rPr>
        <w:t xml:space="preserve"> </w:t>
      </w:r>
    </w:p>
    <w:p w14:paraId="47A5DABF" w14:textId="5B93B49D" w:rsidR="000C20FD" w:rsidRDefault="00E965B9">
      <w:pPr>
        <w:pStyle w:val="YJ-Proposal"/>
        <w:adjustRightInd w:val="0"/>
        <w:snapToGrid w:val="0"/>
        <w:spacing w:afterLines="50" w:after="120" w:line="260" w:lineRule="auto"/>
        <w:rPr>
          <w:lang w:val="en-US" w:eastAsia="zh-CN"/>
        </w:rPr>
      </w:pPr>
      <w:bookmarkStart w:id="4" w:name="_Toc24792"/>
      <w:bookmarkStart w:id="5" w:name="_Toc6764"/>
      <w:bookmarkStart w:id="6" w:name="_Toc939"/>
      <w:bookmarkStart w:id="7" w:name="_Toc7474990"/>
      <w:bookmarkEnd w:id="4"/>
      <w:bookmarkEnd w:id="5"/>
      <w:bookmarkEnd w:id="6"/>
      <w:r>
        <w:rPr>
          <w:lang w:val="en-US" w:eastAsia="zh-CN"/>
        </w:rPr>
        <w:t>PSBCH DMRS is allocated to every PSBCH symbol.</w:t>
      </w:r>
      <w:bookmarkEnd w:id="7"/>
      <w:r>
        <w:rPr>
          <w:lang w:val="en-US" w:eastAsia="zh-CN"/>
        </w:rPr>
        <w:t xml:space="preserve">  </w:t>
      </w:r>
    </w:p>
    <w:p w14:paraId="40C5A4EF" w14:textId="77777777" w:rsidR="000C20FD" w:rsidRDefault="00866A90" w:rsidP="00F12DF4">
      <w:pPr>
        <w:adjustRightInd w:val="0"/>
        <w:snapToGrid w:val="0"/>
        <w:spacing w:before="240" w:afterLines="50" w:after="120"/>
        <w:rPr>
          <w:i/>
          <w:iCs/>
          <w:sz w:val="24"/>
          <w:szCs w:val="24"/>
          <w:u w:val="single"/>
        </w:rPr>
      </w:pPr>
      <w:r>
        <w:rPr>
          <w:rFonts w:hint="eastAsia"/>
          <w:i/>
          <w:iCs/>
          <w:sz w:val="24"/>
          <w:szCs w:val="24"/>
          <w:u w:val="single"/>
        </w:rPr>
        <w:lastRenderedPageBreak/>
        <w:t>S-SSB structure</w:t>
      </w:r>
    </w:p>
    <w:p w14:paraId="79552C9A" w14:textId="2DA60206" w:rsidR="000C20FD" w:rsidRDefault="00866A90">
      <w:pPr>
        <w:snapToGrid w:val="0"/>
        <w:spacing w:afterLines="50" w:after="120" w:line="260" w:lineRule="auto"/>
        <w:rPr>
          <w:sz w:val="20"/>
        </w:rPr>
      </w:pPr>
      <w:r>
        <w:rPr>
          <w:rFonts w:hint="eastAsia"/>
          <w:sz w:val="20"/>
        </w:rPr>
        <w:t>For S-SSB structure, it should be noted that AGC and Tx/Rx switch gap are needed in the first symbol(s) and the last symbol(s) respectively. In LTE V2X, the first symbol in SLSS/PSBCH subframe is mapped to PSBCH. Even though the first symbol is punctured in receiver due to AGC process, it would not cause significant impact on PSBCH decoding pe</w:t>
      </w:r>
      <w:r w:rsidR="004200BA">
        <w:rPr>
          <w:sz w:val="20"/>
        </w:rPr>
        <w:t>r</w:t>
      </w:r>
      <w:r>
        <w:rPr>
          <w:rFonts w:hint="eastAsia"/>
          <w:sz w:val="20"/>
        </w:rPr>
        <w:t xml:space="preserve">formance </w:t>
      </w:r>
      <w:r w:rsidR="004200BA">
        <w:rPr>
          <w:sz w:val="20"/>
        </w:rPr>
        <w:t>due to</w:t>
      </w:r>
      <w:r>
        <w:rPr>
          <w:rFonts w:hint="eastAsia"/>
          <w:sz w:val="20"/>
        </w:rPr>
        <w:t xml:space="preserve"> low channel coding rate. This design can be reused for </w:t>
      </w:r>
      <w:r w:rsidR="004200BA">
        <w:rPr>
          <w:sz w:val="20"/>
        </w:rPr>
        <w:t xml:space="preserve">NR </w:t>
      </w:r>
      <w:r>
        <w:rPr>
          <w:rFonts w:hint="eastAsia"/>
          <w:sz w:val="20"/>
        </w:rPr>
        <w:t>S-SSB structure. The proposed S-SSB structure (fo</w:t>
      </w:r>
      <w:r w:rsidR="00F12DF4">
        <w:rPr>
          <w:rFonts w:hint="eastAsia"/>
          <w:sz w:val="20"/>
        </w:rPr>
        <w:t>r 15 kHz SCS) is shown in Fig. 4</w:t>
      </w:r>
      <w:r>
        <w:rPr>
          <w:rFonts w:hint="eastAsia"/>
          <w:sz w:val="20"/>
        </w:rPr>
        <w:t xml:space="preserve">. Two symbols for each of S-PSS and S-SSS are consecutive for better detection performance. For large SCS, e.g., 120 kHz, 2 or 3 symbols may be used for AGC process. This would decrease significantly the number of symbols used to decoding PSBCH and the decoding performance of PSBCH would degrade largely. So, considering large SCS, more symbols may be considered for PSBCH.   </w:t>
      </w:r>
    </w:p>
    <w:p w14:paraId="539D1099" w14:textId="77777777" w:rsidR="000C20FD" w:rsidRDefault="00866A90">
      <w:pPr>
        <w:spacing w:before="156"/>
        <w:jc w:val="center"/>
      </w:pPr>
      <w:r>
        <w:object w:dxaOrig="5713" w:dyaOrig="1487" w14:anchorId="23A5A08B">
          <v:shape id="_x0000_i1028" type="#_x0000_t75" style="width:285.9pt;height:74.5pt" o:ole="">
            <v:imagedata r:id="rId16" o:title=""/>
          </v:shape>
          <o:OLEObject Type="Embed" ProgID="Visio.Drawing.11" ShapeID="_x0000_i1028" DrawAspect="Content" ObjectID="_1618365249" r:id="rId17"/>
        </w:object>
      </w:r>
    </w:p>
    <w:p w14:paraId="5115A3EC" w14:textId="0E94CE10" w:rsidR="000C20FD" w:rsidRPr="00866B93" w:rsidRDefault="00F12DF4" w:rsidP="00866B93">
      <w:pPr>
        <w:adjustRightInd w:val="0"/>
        <w:snapToGrid w:val="0"/>
        <w:spacing w:afterLines="50" w:after="120" w:line="260" w:lineRule="auto"/>
        <w:jc w:val="center"/>
      </w:pPr>
      <w:r>
        <w:rPr>
          <w:rFonts w:hint="eastAsia"/>
        </w:rPr>
        <w:t>Fig. 4</w:t>
      </w:r>
      <w:r w:rsidR="00866A90">
        <w:rPr>
          <w:rFonts w:hint="eastAsia"/>
        </w:rPr>
        <w:t xml:space="preserve"> S-SSB </w:t>
      </w:r>
      <w:r w:rsidR="00866A90">
        <w:rPr>
          <w:rFonts w:eastAsia="DengXian" w:hint="eastAsia"/>
          <w:sz w:val="20"/>
        </w:rPr>
        <w:t xml:space="preserve">structure </w:t>
      </w:r>
      <w:r w:rsidR="00866A90">
        <w:rPr>
          <w:rFonts w:hint="eastAsia"/>
        </w:rPr>
        <w:t>(15 kHz SCS)</w:t>
      </w:r>
    </w:p>
    <w:p w14:paraId="463E8773" w14:textId="16572BDC" w:rsidR="000C20FD" w:rsidRPr="00603D74" w:rsidRDefault="004200BA">
      <w:pPr>
        <w:pStyle w:val="YJ-Proposal"/>
        <w:adjustRightInd w:val="0"/>
        <w:snapToGrid w:val="0"/>
        <w:spacing w:afterLines="50" w:after="120" w:line="260" w:lineRule="auto"/>
        <w:rPr>
          <w:iCs w:val="0"/>
          <w:lang w:val="en-US" w:eastAsia="zh-CN"/>
        </w:rPr>
      </w:pPr>
      <w:bookmarkStart w:id="8" w:name="_Toc7474991"/>
      <w:r w:rsidRPr="00603D74">
        <w:rPr>
          <w:lang w:val="en-US" w:eastAsia="zh-CN"/>
        </w:rPr>
        <w:t xml:space="preserve">For 15kHz SCS, </w:t>
      </w:r>
      <w:r w:rsidRPr="00603D74">
        <w:rPr>
          <w:rFonts w:hint="eastAsia"/>
          <w:lang w:val="en-US" w:eastAsia="zh-CN"/>
        </w:rPr>
        <w:t xml:space="preserve">the </w:t>
      </w:r>
      <w:r w:rsidRPr="00603D74">
        <w:rPr>
          <w:rFonts w:hint="eastAsia"/>
          <w:iCs w:val="0"/>
          <w:lang w:val="en-US" w:eastAsia="zh-CN"/>
        </w:rPr>
        <w:t>S-SSB construction</w:t>
      </w:r>
      <w:r w:rsidR="00603D74" w:rsidRPr="00603D74">
        <w:rPr>
          <w:iCs w:val="0"/>
          <w:lang w:val="en-US" w:eastAsia="zh-CN"/>
        </w:rPr>
        <w:t xml:space="preserve"> per symbol level</w:t>
      </w:r>
      <w:r w:rsidRPr="00603D74">
        <w:rPr>
          <w:rFonts w:hint="eastAsia"/>
          <w:iCs w:val="0"/>
          <w:lang w:val="en-US" w:eastAsia="zh-CN"/>
        </w:rPr>
        <w:t xml:space="preserve"> is</w:t>
      </w:r>
      <w:r w:rsidR="00866A90" w:rsidRPr="00603D74">
        <w:rPr>
          <w:rFonts w:hint="eastAsia"/>
          <w:iCs w:val="0"/>
          <w:lang w:val="en-US" w:eastAsia="zh-CN"/>
        </w:rPr>
        <w:t xml:space="preserve"> {PSBCH, PSBCH, PSBCH, S-PSS, S-PSS, PSBCH, PSBCH, PSBCH, S-SSS, S-SSS, Gap}.</w:t>
      </w:r>
      <w:bookmarkEnd w:id="8"/>
    </w:p>
    <w:p w14:paraId="67DF2423" w14:textId="77777777" w:rsidR="000C20FD" w:rsidRDefault="00866A90">
      <w:pPr>
        <w:adjustRightInd w:val="0"/>
        <w:snapToGrid w:val="0"/>
        <w:spacing w:afterLines="50" w:after="120" w:line="260" w:lineRule="auto"/>
        <w:rPr>
          <w:i/>
          <w:iCs/>
          <w:sz w:val="24"/>
          <w:szCs w:val="24"/>
          <w:u w:val="single"/>
        </w:rPr>
      </w:pPr>
      <w:r>
        <w:rPr>
          <w:rFonts w:hint="eastAsia"/>
          <w:i/>
          <w:iCs/>
          <w:sz w:val="24"/>
          <w:szCs w:val="24"/>
          <w:u w:val="single"/>
        </w:rPr>
        <w:t>Synchronization resource</w:t>
      </w:r>
    </w:p>
    <w:p w14:paraId="49E93FCA" w14:textId="4403FEC0" w:rsidR="000C20FD" w:rsidRDefault="00866A90" w:rsidP="00866B93">
      <w:pPr>
        <w:snapToGrid w:val="0"/>
        <w:spacing w:afterLines="50" w:after="120" w:line="260" w:lineRule="auto"/>
        <w:rPr>
          <w:sz w:val="20"/>
        </w:rPr>
      </w:pPr>
      <w:r>
        <w:rPr>
          <w:sz w:val="20"/>
        </w:rPr>
        <w:t>In LTE V2X, one synchronization resource is configured in a synchronization resource period for in-coverage UEs to transmit SLSS/PSBCH. For ou</w:t>
      </w:r>
      <w:r>
        <w:rPr>
          <w:rFonts w:hint="eastAsia"/>
          <w:sz w:val="20"/>
        </w:rPr>
        <w:t>t</w:t>
      </w:r>
      <w:r>
        <w:rPr>
          <w:sz w:val="20"/>
        </w:rPr>
        <w:t xml:space="preserve">-of-coverage UEs, two or three synchronization resources are </w:t>
      </w:r>
      <w:r>
        <w:rPr>
          <w:rFonts w:hint="eastAsia"/>
          <w:sz w:val="20"/>
        </w:rPr>
        <w:t>used</w:t>
      </w:r>
      <w:r>
        <w:rPr>
          <w:sz w:val="20"/>
        </w:rPr>
        <w:t xml:space="preserve"> for </w:t>
      </w:r>
      <w:r>
        <w:rPr>
          <w:rFonts w:hint="eastAsia"/>
          <w:sz w:val="20"/>
        </w:rPr>
        <w:t>SLSS/PSBCH</w:t>
      </w:r>
      <w:r>
        <w:rPr>
          <w:sz w:val="20"/>
        </w:rPr>
        <w:t xml:space="preserve">. </w:t>
      </w:r>
      <w:r>
        <w:rPr>
          <w:rFonts w:hint="eastAsia"/>
          <w:sz w:val="20"/>
        </w:rPr>
        <w:t xml:space="preserve">If three sync resources are configured, </w:t>
      </w:r>
      <w:r>
        <w:rPr>
          <w:sz w:val="20"/>
        </w:rPr>
        <w:t>the third synchronization resource is used to identify special synchronization source, i.e., GNSS. For NR V2X, the same philosophy may still exist</w:t>
      </w:r>
      <w:r>
        <w:rPr>
          <w:rFonts w:hint="eastAsia"/>
          <w:sz w:val="20"/>
        </w:rPr>
        <w:t>.</w:t>
      </w:r>
      <w:r>
        <w:rPr>
          <w:sz w:val="20"/>
        </w:rPr>
        <w:t xml:space="preserve"> </w:t>
      </w:r>
      <w:r>
        <w:rPr>
          <w:rFonts w:hint="eastAsia"/>
          <w:sz w:val="20"/>
        </w:rPr>
        <w:t>The difference is</w:t>
      </w:r>
      <w:r>
        <w:rPr>
          <w:sz w:val="20"/>
        </w:rPr>
        <w:t xml:space="preserve"> that</w:t>
      </w:r>
      <w:r>
        <w:rPr>
          <w:rFonts w:hint="eastAsia"/>
          <w:sz w:val="20"/>
        </w:rPr>
        <w:t xml:space="preserve"> a set of resources should be considered because of beam sweeping upon S-SSB. From the purpose of simplicity, two sets of</w:t>
      </w:r>
      <w:r>
        <w:rPr>
          <w:sz w:val="20"/>
        </w:rPr>
        <w:t xml:space="preserve"> synchronization resource</w:t>
      </w:r>
      <w:r>
        <w:rPr>
          <w:rFonts w:hint="eastAsia"/>
          <w:sz w:val="20"/>
        </w:rPr>
        <w:t xml:space="preserve"> with TDM can be (pre-)configured</w:t>
      </w:r>
      <w:r>
        <w:rPr>
          <w:sz w:val="20"/>
        </w:rPr>
        <w:t xml:space="preserve"> in a synchronization resource period</w:t>
      </w:r>
      <w:r w:rsidR="00F12DF4">
        <w:rPr>
          <w:rFonts w:hint="eastAsia"/>
          <w:sz w:val="20"/>
        </w:rPr>
        <w:t>, as shown in Figure 5</w:t>
      </w:r>
      <w:r>
        <w:rPr>
          <w:sz w:val="20"/>
        </w:rPr>
        <w:t>.</w:t>
      </w:r>
      <w:r>
        <w:rPr>
          <w:rFonts w:hint="eastAsia"/>
          <w:sz w:val="20"/>
        </w:rPr>
        <w:t xml:space="preserve"> In each set, multiple synchronization resources are included based on a pattern. Different sets of </w:t>
      </w:r>
      <w:r>
        <w:rPr>
          <w:sz w:val="20"/>
        </w:rPr>
        <w:t>synchronization resource</w:t>
      </w:r>
      <w:r>
        <w:rPr>
          <w:rFonts w:hint="eastAsia"/>
          <w:sz w:val="20"/>
        </w:rPr>
        <w:t xml:space="preserve"> are used to transmit S-SSB and detect S-SSB. Multiple candidate S-SSB transmission resources are included in a set to support beam sweeping for S-SSB transmission.</w:t>
      </w:r>
    </w:p>
    <w:p w14:paraId="14410838" w14:textId="77777777" w:rsidR="000C20FD" w:rsidRDefault="00866A90">
      <w:pPr>
        <w:spacing w:before="156"/>
        <w:jc w:val="center"/>
      </w:pPr>
      <w:r>
        <w:object w:dxaOrig="6975" w:dyaOrig="1290" w14:anchorId="240CC6FF">
          <v:shape id="_x0000_i1029" type="#_x0000_t75" style="width:348.3pt;height:64.45pt" o:ole="">
            <v:imagedata r:id="rId18" o:title=""/>
          </v:shape>
          <o:OLEObject Type="Embed" ProgID="Visio.Drawing.11" ShapeID="_x0000_i1029" DrawAspect="Content" ObjectID="_1618365250" r:id="rId19"/>
        </w:object>
      </w:r>
    </w:p>
    <w:p w14:paraId="770B77E1" w14:textId="08B55FAA" w:rsidR="000C20FD" w:rsidRPr="00866B93" w:rsidRDefault="00F12DF4" w:rsidP="00866B93">
      <w:pPr>
        <w:adjustRightInd w:val="0"/>
        <w:snapToGrid w:val="0"/>
        <w:spacing w:afterLines="50" w:after="120" w:line="260" w:lineRule="auto"/>
        <w:jc w:val="center"/>
      </w:pPr>
      <w:r>
        <w:rPr>
          <w:rFonts w:hint="eastAsia"/>
        </w:rPr>
        <w:t>Fig.</w:t>
      </w:r>
      <w:r>
        <w:t>5</w:t>
      </w:r>
      <w:r w:rsidR="00866A90">
        <w:rPr>
          <w:rFonts w:hint="eastAsia"/>
        </w:rPr>
        <w:t xml:space="preserve"> </w:t>
      </w:r>
      <w:r w:rsidR="00866A90">
        <w:rPr>
          <w:rFonts w:eastAsia="DengXian" w:hint="eastAsia"/>
          <w:sz w:val="20"/>
        </w:rPr>
        <w:t xml:space="preserve">Synchronization </w:t>
      </w:r>
      <w:r w:rsidR="00866A90">
        <w:rPr>
          <w:rFonts w:hint="eastAsia"/>
        </w:rPr>
        <w:t>resource location</w:t>
      </w:r>
    </w:p>
    <w:p w14:paraId="0E02DEF0" w14:textId="77777777" w:rsidR="000C20FD" w:rsidRDefault="00866A90">
      <w:pPr>
        <w:pStyle w:val="YJ-Proposal"/>
        <w:adjustRightInd w:val="0"/>
        <w:snapToGrid w:val="0"/>
        <w:spacing w:afterLines="50" w:after="120" w:line="260" w:lineRule="auto"/>
        <w:rPr>
          <w:lang w:val="en-US" w:eastAsia="zh-CN"/>
        </w:rPr>
      </w:pPr>
      <w:bookmarkStart w:id="9" w:name="_Toc7474992"/>
      <w:r>
        <w:rPr>
          <w:rFonts w:hint="eastAsia"/>
          <w:szCs w:val="22"/>
          <w:lang w:val="en-US" w:eastAsia="zh-CN"/>
        </w:rPr>
        <w:t xml:space="preserve">Two </w:t>
      </w:r>
      <w:r>
        <w:rPr>
          <w:rFonts w:eastAsia="SimSun"/>
          <w:lang w:val="en-US" w:eastAsia="zh-CN"/>
        </w:rPr>
        <w:t xml:space="preserve">sets of </w:t>
      </w:r>
      <w:r>
        <w:rPr>
          <w:rFonts w:eastAsia="SimSun" w:hint="eastAsia"/>
          <w:lang w:val="en-US" w:eastAsia="zh-CN"/>
        </w:rPr>
        <w:t xml:space="preserve">candidate </w:t>
      </w:r>
      <w:r>
        <w:rPr>
          <w:rFonts w:eastAsia="SimSun"/>
          <w:lang w:val="en-US" w:eastAsia="zh-CN"/>
        </w:rPr>
        <w:t xml:space="preserve">synchronization resources </w:t>
      </w:r>
      <w:r>
        <w:rPr>
          <w:rFonts w:eastAsia="SimSun" w:hint="eastAsia"/>
          <w:lang w:val="en-US" w:eastAsia="zh-CN"/>
        </w:rPr>
        <w:t xml:space="preserve">with TDM </w:t>
      </w:r>
      <w:r>
        <w:rPr>
          <w:rFonts w:eastAsia="SimSun"/>
          <w:lang w:val="en-US" w:eastAsia="zh-CN"/>
        </w:rPr>
        <w:t xml:space="preserve">in a synchronization resource period should be </w:t>
      </w:r>
      <w:r>
        <w:rPr>
          <w:rFonts w:eastAsia="SimSun" w:hint="eastAsia"/>
          <w:lang w:val="en-US" w:eastAsia="zh-CN"/>
        </w:rPr>
        <w:t>supported</w:t>
      </w:r>
      <w:r>
        <w:rPr>
          <w:rFonts w:eastAsia="SimSun"/>
          <w:lang w:val="en-US" w:eastAsia="zh-CN"/>
        </w:rPr>
        <w:t>.</w:t>
      </w:r>
      <w:bookmarkEnd w:id="9"/>
    </w:p>
    <w:p w14:paraId="1F2F5BC1" w14:textId="77777777" w:rsidR="000C20FD" w:rsidRDefault="00866A90">
      <w:pPr>
        <w:pStyle w:val="Heading2"/>
        <w:adjustRightInd w:val="0"/>
        <w:snapToGrid w:val="0"/>
        <w:spacing w:before="0" w:afterLines="50" w:after="120" w:line="260" w:lineRule="auto"/>
        <w:ind w:left="991" w:right="210" w:hangingChars="354" w:hanging="991"/>
      </w:pPr>
      <w:r>
        <w:rPr>
          <w:rFonts w:hint="eastAsia"/>
          <w:szCs w:val="22"/>
        </w:rPr>
        <w:t xml:space="preserve">PSBCH   </w:t>
      </w:r>
    </w:p>
    <w:p w14:paraId="76DFC849" w14:textId="77777777" w:rsidR="000C20FD" w:rsidRDefault="00866A90">
      <w:pPr>
        <w:spacing w:before="156" w:afterLines="50" w:after="120" w:line="22" w:lineRule="atLeast"/>
        <w:rPr>
          <w:sz w:val="20"/>
        </w:rPr>
      </w:pPr>
      <w:r>
        <w:rPr>
          <w:sz w:val="20"/>
        </w:rPr>
        <w:t>In LTE V2X, PSBCH is transmitted together with SL SS to indicate some essential information, such as sidelink bandwidth, SFN/DFN and in-coverage indication, so that out-of-coverage UEs can obtain timing and other synchronization information. Similarly, in NR V2X, some indications should be included in PSBCH.</w:t>
      </w:r>
    </w:p>
    <w:p w14:paraId="02139C2C" w14:textId="77777777" w:rsidR="000C20FD" w:rsidRDefault="00866A90">
      <w:pPr>
        <w:numPr>
          <w:ilvl w:val="0"/>
          <w:numId w:val="11"/>
        </w:numPr>
        <w:spacing w:before="120" w:afterLines="50" w:after="120" w:line="22" w:lineRule="atLeast"/>
        <w:ind w:left="720"/>
        <w:rPr>
          <w:sz w:val="20"/>
        </w:rPr>
      </w:pPr>
      <w:r>
        <w:rPr>
          <w:rFonts w:hint="eastAsia"/>
          <w:sz w:val="20"/>
        </w:rPr>
        <w:t>SFN/DFN</w:t>
      </w:r>
    </w:p>
    <w:p w14:paraId="455AFD01" w14:textId="77777777" w:rsidR="000C20FD" w:rsidRDefault="00866A90">
      <w:pPr>
        <w:snapToGrid w:val="0"/>
        <w:spacing w:afterLines="50" w:after="120" w:line="22" w:lineRule="atLeast"/>
        <w:ind w:left="720"/>
        <w:rPr>
          <w:sz w:val="20"/>
        </w:rPr>
      </w:pPr>
      <w:r>
        <w:rPr>
          <w:rFonts w:hint="eastAsia"/>
          <w:sz w:val="20"/>
        </w:rPr>
        <w:t xml:space="preserve">This field indicates the System Frame Number (or </w:t>
      </w:r>
      <w:r>
        <w:rPr>
          <w:sz w:val="20"/>
        </w:rPr>
        <w:t>Direct Frame Number</w:t>
      </w:r>
      <w:r>
        <w:rPr>
          <w:rFonts w:hint="eastAsia"/>
          <w:sz w:val="20"/>
        </w:rPr>
        <w:t>) of the frame in which S-SSB is transmitted. Based on this filed, the detecting UEs can obtain the frame number information for NR V2X communication.</w:t>
      </w:r>
    </w:p>
    <w:p w14:paraId="4EA8F1F8" w14:textId="77777777" w:rsidR="000C20FD" w:rsidRDefault="00866A90">
      <w:pPr>
        <w:numPr>
          <w:ilvl w:val="0"/>
          <w:numId w:val="11"/>
        </w:numPr>
        <w:spacing w:before="120" w:afterLines="50" w:after="120" w:line="22" w:lineRule="atLeast"/>
        <w:ind w:left="720"/>
        <w:rPr>
          <w:sz w:val="20"/>
        </w:rPr>
      </w:pPr>
      <w:r>
        <w:rPr>
          <w:rFonts w:hint="eastAsia"/>
          <w:sz w:val="20"/>
        </w:rPr>
        <w:lastRenderedPageBreak/>
        <w:t xml:space="preserve">S-SSB index </w:t>
      </w:r>
    </w:p>
    <w:p w14:paraId="4257A96F" w14:textId="77777777" w:rsidR="000C20FD" w:rsidRDefault="00866A90">
      <w:pPr>
        <w:snapToGrid w:val="0"/>
        <w:spacing w:afterLines="50" w:after="120" w:line="22" w:lineRule="atLeast"/>
        <w:ind w:left="720"/>
        <w:rPr>
          <w:sz w:val="20"/>
        </w:rPr>
      </w:pPr>
      <w:r>
        <w:rPr>
          <w:sz w:val="20"/>
        </w:rPr>
        <w:t xml:space="preserve">Similar to Rel-15 NR Uu, the UE can derive the frame timing based on the time index of the detected S-SSB in an S-SSB transmission period. At the same time, a pattern of candidate location of S-SSB in a period is predefined. Each candidate location of S-SSB corresponds to one time index in ascending order. With both the indicated index in the defined pattern and SFN/DFN, the frame timing of S-SSB can be determined. </w:t>
      </w:r>
      <w:r>
        <w:rPr>
          <w:rFonts w:hint="eastAsia"/>
          <w:sz w:val="20"/>
        </w:rPr>
        <w:t xml:space="preserve">In NR, SSB index in half frame duration is indicated implicitly by PBCH DMRS sequence. S-SSB index indication can reuse the same mechanism to reduce the overhead of explicit indication. </w:t>
      </w:r>
    </w:p>
    <w:p w14:paraId="380BE835" w14:textId="77777777" w:rsidR="000C20FD" w:rsidRDefault="00866A90">
      <w:pPr>
        <w:numPr>
          <w:ilvl w:val="0"/>
          <w:numId w:val="11"/>
        </w:numPr>
        <w:spacing w:before="120" w:afterLines="50" w:after="120" w:line="22" w:lineRule="atLeast"/>
        <w:ind w:left="720"/>
        <w:rPr>
          <w:sz w:val="20"/>
        </w:rPr>
      </w:pPr>
      <w:r>
        <w:rPr>
          <w:rFonts w:hint="eastAsia"/>
          <w:sz w:val="20"/>
        </w:rPr>
        <w:t>Direct synchronization indicator</w:t>
      </w:r>
    </w:p>
    <w:p w14:paraId="6A953A92" w14:textId="231F7BCE" w:rsidR="000C20FD" w:rsidRDefault="00866A90" w:rsidP="00866B93">
      <w:pPr>
        <w:snapToGrid w:val="0"/>
        <w:spacing w:afterLines="50" w:after="120" w:line="22" w:lineRule="atLeast"/>
        <w:ind w:left="720"/>
        <w:rPr>
          <w:sz w:val="20"/>
        </w:rPr>
      </w:pPr>
      <w:r>
        <w:rPr>
          <w:sz w:val="20"/>
        </w:rPr>
        <w:t>This indication can help UE to differentiate between the sync reference UEs directly synchronizing to the highest sync source (i.e., network or GNSS) and the sync reference UEs indirectly synchronizing to the highest sync source. Based on this indication, the UE can select sync reference according to priority order of sync references</w:t>
      </w:r>
      <w:r>
        <w:rPr>
          <w:rFonts w:hint="eastAsia"/>
          <w:sz w:val="20"/>
        </w:rPr>
        <w:t xml:space="preserve"> if it </w:t>
      </w:r>
      <w:r>
        <w:rPr>
          <w:sz w:val="20"/>
        </w:rPr>
        <w:t xml:space="preserve">is </w:t>
      </w:r>
      <w:r>
        <w:rPr>
          <w:rFonts w:hint="eastAsia"/>
          <w:sz w:val="20"/>
        </w:rPr>
        <w:t>defined.</w:t>
      </w:r>
    </w:p>
    <w:p w14:paraId="706193BC" w14:textId="153CD1BF" w:rsidR="000C20FD" w:rsidRPr="00866B93" w:rsidRDefault="00866A90" w:rsidP="00866B93">
      <w:pPr>
        <w:pStyle w:val="YJ-Proposal"/>
        <w:adjustRightInd w:val="0"/>
        <w:snapToGrid w:val="0"/>
        <w:spacing w:afterLines="50" w:after="120" w:line="22" w:lineRule="atLeast"/>
        <w:rPr>
          <w:lang w:val="en-US" w:eastAsia="zh-CN"/>
        </w:rPr>
      </w:pPr>
      <w:bookmarkStart w:id="10" w:name="_Toc8582"/>
      <w:bookmarkStart w:id="11" w:name="_Toc30621"/>
      <w:bookmarkStart w:id="12" w:name="_Toc32198"/>
      <w:bookmarkStart w:id="13" w:name="_Toc7474993"/>
      <w:bookmarkEnd w:id="10"/>
      <w:bookmarkEnd w:id="11"/>
      <w:bookmarkEnd w:id="12"/>
      <w:r>
        <w:rPr>
          <w:rFonts w:eastAsia="SimSun"/>
          <w:lang w:val="en-US" w:eastAsia="zh-CN"/>
        </w:rPr>
        <w:t xml:space="preserve">PSBCH </w:t>
      </w:r>
      <w:r>
        <w:rPr>
          <w:rFonts w:eastAsia="SimSun" w:hint="eastAsia"/>
          <w:lang w:val="en-US" w:eastAsia="zh-CN"/>
        </w:rPr>
        <w:t xml:space="preserve">should carry at least </w:t>
      </w:r>
      <w:bookmarkStart w:id="14" w:name="_Toc18214"/>
      <w:bookmarkStart w:id="15" w:name="_Toc15096"/>
      <w:bookmarkEnd w:id="14"/>
      <w:bookmarkEnd w:id="15"/>
      <w:r w:rsidRPr="00866B93">
        <w:rPr>
          <w:rFonts w:hint="eastAsia"/>
        </w:rPr>
        <w:t>SFN/DFN</w:t>
      </w:r>
      <w:r w:rsidR="00866B93">
        <w:t xml:space="preserve">, </w:t>
      </w:r>
      <w:r w:rsidRPr="00866B93">
        <w:rPr>
          <w:rFonts w:hint="eastAsia"/>
        </w:rPr>
        <w:t>S-SSB index</w:t>
      </w:r>
      <w:r w:rsidR="00866B93">
        <w:t xml:space="preserve"> and d</w:t>
      </w:r>
      <w:r w:rsidRPr="00866B93">
        <w:rPr>
          <w:rFonts w:hint="eastAsia"/>
        </w:rPr>
        <w:t>irect synchronization indicator</w:t>
      </w:r>
      <w:r w:rsidR="00866B93">
        <w:t>.</w:t>
      </w:r>
      <w:bookmarkEnd w:id="13"/>
    </w:p>
    <w:p w14:paraId="6A6D8483" w14:textId="77777777" w:rsidR="000C20FD" w:rsidRDefault="00866A90">
      <w:pPr>
        <w:adjustRightInd w:val="0"/>
        <w:snapToGrid w:val="0"/>
        <w:spacing w:afterLines="50" w:after="120" w:line="260" w:lineRule="auto"/>
        <w:rPr>
          <w:sz w:val="20"/>
        </w:rPr>
      </w:pPr>
      <w:r>
        <w:rPr>
          <w:rFonts w:hint="eastAsia"/>
          <w:sz w:val="20"/>
        </w:rPr>
        <w:t xml:space="preserve">In addition, the location and bandwidth of SL-BWP and TDD UL/DL configuration are necessary for out-of-coverage UEs if they want to communicate with the UEs in coverage. The payload of PSBCH would be increased largely if the information of SL-BWP and TDD UL/DL configuration are indicated in PSBCH. In Rel-15 NR, IE </w:t>
      </w:r>
      <w:r>
        <w:rPr>
          <w:sz w:val="20"/>
        </w:rPr>
        <w:t>TDD-UL-DL-ConfigCommon</w:t>
      </w:r>
      <w:r>
        <w:rPr>
          <w:rFonts w:hint="eastAsia"/>
          <w:sz w:val="20"/>
        </w:rPr>
        <w:t xml:space="preserve"> </w:t>
      </w:r>
      <w:r>
        <w:rPr>
          <w:sz w:val="20"/>
        </w:rPr>
        <w:t>determines the</w:t>
      </w:r>
      <w:r>
        <w:rPr>
          <w:rFonts w:hint="eastAsia"/>
          <w:sz w:val="20"/>
        </w:rPr>
        <w:t xml:space="preserve"> cell-specific</w:t>
      </w:r>
      <w:r>
        <w:rPr>
          <w:sz w:val="20"/>
        </w:rPr>
        <w:t xml:space="preserve"> Uplink/Downlink TDD configuration</w:t>
      </w:r>
      <w:r>
        <w:rPr>
          <w:rFonts w:hint="eastAsia"/>
          <w:sz w:val="20"/>
        </w:rPr>
        <w:t xml:space="preserve">. In this IE configuration, two patterns (pattern1 and pattern2) may be configured to finish </w:t>
      </w:r>
      <w:r>
        <w:rPr>
          <w:sz w:val="20"/>
        </w:rPr>
        <w:t>the</w:t>
      </w:r>
      <w:r>
        <w:rPr>
          <w:rFonts w:hint="eastAsia"/>
          <w:sz w:val="20"/>
        </w:rPr>
        <w:t xml:space="preserve"> cell-specific</w:t>
      </w:r>
      <w:r>
        <w:rPr>
          <w:sz w:val="20"/>
        </w:rPr>
        <w:t xml:space="preserve"> Uplink/Downlink TDD configuration</w:t>
      </w:r>
      <w:r>
        <w:rPr>
          <w:rFonts w:hint="eastAsia"/>
          <w:sz w:val="20"/>
        </w:rPr>
        <w:t xml:space="preserve">. Even </w:t>
      </w:r>
      <w:r>
        <w:rPr>
          <w:sz w:val="20"/>
        </w:rPr>
        <w:t>if only one (e.g., pattern1) is configured, 31-bit payload would be needed.</w:t>
      </w:r>
    </w:p>
    <w:p w14:paraId="0681811E" w14:textId="77777777" w:rsidR="000C20FD" w:rsidRDefault="00866A90">
      <w:pPr>
        <w:pStyle w:val="YJ-Observation"/>
        <w:adjustRightInd w:val="0"/>
        <w:snapToGrid w:val="0"/>
        <w:spacing w:afterLines="50" w:after="120" w:line="260" w:lineRule="auto"/>
        <w:rPr>
          <w:lang w:val="en-US" w:eastAsia="zh-CN"/>
        </w:rPr>
      </w:pPr>
      <w:bookmarkStart w:id="16" w:name="_Toc7474985"/>
      <w:r>
        <w:rPr>
          <w:rFonts w:hint="eastAsia"/>
          <w:lang w:val="en-US" w:eastAsia="zh-CN"/>
        </w:rPr>
        <w:t>I</w:t>
      </w:r>
      <w:r>
        <w:rPr>
          <w:lang w:val="en-US" w:eastAsia="zh-CN"/>
        </w:rPr>
        <w:t xml:space="preserve">t is </w:t>
      </w:r>
      <w:r>
        <w:rPr>
          <w:rFonts w:hint="eastAsia"/>
          <w:lang w:val="en-US" w:eastAsia="zh-CN"/>
        </w:rPr>
        <w:t>hardly achievable to</w:t>
      </w:r>
      <w:r>
        <w:rPr>
          <w:lang w:val="en-US" w:eastAsia="zh-CN"/>
        </w:rPr>
        <w:t xml:space="preserve"> keep the PSBCH payload size no more than 56 bits</w:t>
      </w:r>
      <w:r>
        <w:rPr>
          <w:rFonts w:hint="eastAsia"/>
          <w:lang w:val="en-US" w:eastAsia="zh-CN"/>
        </w:rPr>
        <w:t xml:space="preserve"> if </w:t>
      </w:r>
      <w:r>
        <w:rPr>
          <w:lang w:val="en-US" w:eastAsia="zh-CN"/>
        </w:rPr>
        <w:t>TDD UL/DL configuration</w:t>
      </w:r>
      <w:r>
        <w:rPr>
          <w:rFonts w:hint="eastAsia"/>
          <w:lang w:val="en-US" w:eastAsia="zh-CN"/>
        </w:rPr>
        <w:t xml:space="preserve"> are </w:t>
      </w:r>
      <w:r>
        <w:rPr>
          <w:lang w:val="en-US" w:eastAsia="zh-CN"/>
        </w:rPr>
        <w:t xml:space="preserve">fully </w:t>
      </w:r>
      <w:r>
        <w:rPr>
          <w:rFonts w:hint="eastAsia"/>
          <w:lang w:val="en-US" w:eastAsia="zh-CN"/>
        </w:rPr>
        <w:t>indicated in PSBCH</w:t>
      </w:r>
      <w:r>
        <w:rPr>
          <w:lang w:val="en-US" w:eastAsia="zh-CN"/>
        </w:rPr>
        <w:t>.</w:t>
      </w:r>
      <w:bookmarkEnd w:id="16"/>
    </w:p>
    <w:p w14:paraId="3143021D" w14:textId="77777777" w:rsidR="000C20FD" w:rsidRDefault="00866A90">
      <w:pPr>
        <w:pStyle w:val="Heading2"/>
        <w:adjustRightInd w:val="0"/>
        <w:snapToGrid w:val="0"/>
        <w:spacing w:before="0" w:afterLines="50" w:after="120" w:line="260" w:lineRule="auto"/>
        <w:ind w:left="991" w:right="210" w:hangingChars="354" w:hanging="991"/>
      </w:pPr>
      <w:r>
        <w:rPr>
          <w:rFonts w:hint="eastAsia"/>
          <w:szCs w:val="22"/>
        </w:rPr>
        <w:t xml:space="preserve">Synchronization </w:t>
      </w:r>
      <w:r>
        <w:rPr>
          <w:rFonts w:hint="eastAsia"/>
        </w:rPr>
        <w:t>p</w:t>
      </w:r>
      <w:r>
        <w:rPr>
          <w:rFonts w:hint="eastAsia"/>
          <w:lang w:eastAsia="ko-KR"/>
        </w:rPr>
        <w:t>rocedure</w:t>
      </w:r>
    </w:p>
    <w:p w14:paraId="72B4DE6F" w14:textId="77777777" w:rsidR="000C20FD" w:rsidRDefault="00866A90">
      <w:pPr>
        <w:adjustRightInd w:val="0"/>
        <w:snapToGrid w:val="0"/>
        <w:spacing w:afterLines="50" w:after="120" w:line="260" w:lineRule="auto"/>
        <w:rPr>
          <w:rFonts w:cs="Arial"/>
          <w:bCs/>
          <w:i/>
          <w:sz w:val="24"/>
          <w:szCs w:val="24"/>
          <w:u w:val="single"/>
        </w:rPr>
      </w:pPr>
      <w:r>
        <w:rPr>
          <w:rFonts w:cs="Arial" w:hint="eastAsia"/>
          <w:bCs/>
          <w:i/>
          <w:sz w:val="24"/>
          <w:szCs w:val="24"/>
          <w:u w:val="single"/>
        </w:rPr>
        <w:t>Synchronization reference select</w:t>
      </w:r>
    </w:p>
    <w:p w14:paraId="1FC6489B" w14:textId="77777777" w:rsidR="000C20FD" w:rsidRDefault="00866A90">
      <w:pPr>
        <w:snapToGrid w:val="0"/>
        <w:spacing w:afterLines="50" w:after="120" w:line="260" w:lineRule="auto"/>
        <w:rPr>
          <w:sz w:val="20"/>
        </w:rPr>
      </w:pPr>
      <w:r>
        <w:rPr>
          <w:rFonts w:hint="eastAsia"/>
          <w:sz w:val="20"/>
        </w:rPr>
        <w:t xml:space="preserve">In NR V2X, it is agreed that </w:t>
      </w:r>
    </w:p>
    <w:p w14:paraId="14DC1497" w14:textId="77777777" w:rsidR="000C20FD" w:rsidRDefault="00866A90">
      <w:pPr>
        <w:pStyle w:val="ListParagraph"/>
        <w:numPr>
          <w:ilvl w:val="0"/>
          <w:numId w:val="12"/>
        </w:numPr>
        <w:snapToGrid w:val="0"/>
        <w:spacing w:afterLines="50" w:after="120" w:line="22" w:lineRule="atLeast"/>
        <w:rPr>
          <w:sz w:val="20"/>
          <w:szCs w:val="20"/>
        </w:rPr>
      </w:pPr>
      <w:r>
        <w:rPr>
          <w:rFonts w:eastAsia="SimSun" w:hint="eastAsia"/>
          <w:sz w:val="20"/>
          <w:szCs w:val="20"/>
        </w:rPr>
        <w:t>a</w:t>
      </w:r>
      <w:r>
        <w:rPr>
          <w:sz w:val="20"/>
          <w:szCs w:val="20"/>
        </w:rPr>
        <w:t xml:space="preserve">t least GNSS, gNB/eNB and </w:t>
      </w:r>
      <w:r>
        <w:rPr>
          <w:rFonts w:hint="eastAsia"/>
          <w:sz w:val="20"/>
          <w:szCs w:val="20"/>
        </w:rPr>
        <w:t xml:space="preserve">NR </w:t>
      </w:r>
      <w:r>
        <w:rPr>
          <w:sz w:val="20"/>
          <w:szCs w:val="20"/>
        </w:rPr>
        <w:t>UE</w:t>
      </w:r>
      <w:r>
        <w:rPr>
          <w:rFonts w:eastAsia="DengXian"/>
          <w:sz w:val="20"/>
          <w:szCs w:val="20"/>
        </w:rPr>
        <w:t xml:space="preserve"> </w:t>
      </w:r>
      <w:r>
        <w:rPr>
          <w:rFonts w:eastAsia="DengXian" w:hint="eastAsia"/>
          <w:sz w:val="20"/>
          <w:szCs w:val="20"/>
        </w:rPr>
        <w:t>are</w:t>
      </w:r>
      <w:r>
        <w:rPr>
          <w:sz w:val="20"/>
          <w:szCs w:val="20"/>
        </w:rPr>
        <w:t xml:space="preserve"> supported </w:t>
      </w:r>
      <w:r>
        <w:rPr>
          <w:rFonts w:hint="eastAsia"/>
          <w:sz w:val="20"/>
          <w:szCs w:val="20"/>
        </w:rPr>
        <w:t>as</w:t>
      </w:r>
      <w:r>
        <w:rPr>
          <w:sz w:val="20"/>
          <w:szCs w:val="20"/>
        </w:rPr>
        <w:t xml:space="preserve"> the synchronization source</w:t>
      </w:r>
      <w:r>
        <w:rPr>
          <w:rFonts w:eastAsia="SimSun" w:hint="eastAsia"/>
          <w:sz w:val="20"/>
          <w:szCs w:val="20"/>
        </w:rPr>
        <w:t xml:space="preserve"> (RAN1 #94bis)</w:t>
      </w:r>
      <w:r>
        <w:rPr>
          <w:rFonts w:eastAsia="SimSun"/>
          <w:sz w:val="20"/>
          <w:szCs w:val="20"/>
        </w:rPr>
        <w:t xml:space="preserve">; </w:t>
      </w:r>
    </w:p>
    <w:p w14:paraId="5A0E93C2" w14:textId="77777777" w:rsidR="000C20FD" w:rsidRDefault="00866A90">
      <w:pPr>
        <w:pStyle w:val="ListParagraph"/>
        <w:numPr>
          <w:ilvl w:val="0"/>
          <w:numId w:val="12"/>
        </w:numPr>
        <w:snapToGrid w:val="0"/>
        <w:spacing w:afterLines="50" w:after="120" w:line="22" w:lineRule="atLeast"/>
        <w:rPr>
          <w:sz w:val="20"/>
          <w:szCs w:val="20"/>
        </w:rPr>
      </w:pPr>
      <w:r>
        <w:rPr>
          <w:rFonts w:eastAsia="Malgun Gothic"/>
          <w:sz w:val="20"/>
          <w:szCs w:val="20"/>
        </w:rPr>
        <w:t>each</w:t>
      </w:r>
      <w:r>
        <w:rPr>
          <w:rFonts w:eastAsia="Malgun Gothic" w:hint="eastAsia"/>
          <w:sz w:val="20"/>
          <w:szCs w:val="20"/>
        </w:rPr>
        <w:t xml:space="preserve"> type of synchronization </w:t>
      </w:r>
      <w:r>
        <w:rPr>
          <w:rFonts w:eastAsia="Malgun Gothic"/>
          <w:sz w:val="20"/>
          <w:szCs w:val="20"/>
        </w:rPr>
        <w:t xml:space="preserve">reference has a respective </w:t>
      </w:r>
      <w:r>
        <w:rPr>
          <w:rFonts w:eastAsia="Malgun Gothic" w:hint="eastAsia"/>
          <w:sz w:val="20"/>
          <w:szCs w:val="20"/>
        </w:rPr>
        <w:t xml:space="preserve">sync </w:t>
      </w:r>
      <w:r>
        <w:rPr>
          <w:rFonts w:eastAsia="Malgun Gothic"/>
          <w:sz w:val="20"/>
          <w:szCs w:val="20"/>
        </w:rPr>
        <w:t>priority</w:t>
      </w:r>
      <w:r>
        <w:rPr>
          <w:rFonts w:eastAsia="SimSun" w:hint="eastAsia"/>
          <w:sz w:val="20"/>
          <w:szCs w:val="20"/>
        </w:rPr>
        <w:t xml:space="preserve"> (RAN1 AH1901)</w:t>
      </w:r>
      <w:r>
        <w:rPr>
          <w:rFonts w:eastAsia="SimSun"/>
          <w:sz w:val="20"/>
          <w:szCs w:val="20"/>
        </w:rPr>
        <w:t>;</w:t>
      </w:r>
    </w:p>
    <w:p w14:paraId="7C476E70" w14:textId="77777777" w:rsidR="000C20FD" w:rsidRDefault="00866A90">
      <w:pPr>
        <w:pStyle w:val="ListParagraph"/>
        <w:numPr>
          <w:ilvl w:val="0"/>
          <w:numId w:val="12"/>
        </w:numPr>
        <w:snapToGrid w:val="0"/>
        <w:spacing w:afterLines="50" w:after="120" w:line="22" w:lineRule="atLeast"/>
        <w:rPr>
          <w:sz w:val="20"/>
          <w:szCs w:val="20"/>
        </w:rPr>
      </w:pPr>
      <w:r>
        <w:rPr>
          <w:rFonts w:hint="eastAsia"/>
          <w:sz w:val="20"/>
          <w:szCs w:val="20"/>
        </w:rPr>
        <w:t xml:space="preserve">the synchronization priority order based on network (eNB/gNB) or GNSS respectively </w:t>
      </w:r>
      <w:r>
        <w:rPr>
          <w:rFonts w:eastAsia="SimSun" w:hint="eastAsia"/>
          <w:sz w:val="20"/>
          <w:szCs w:val="20"/>
        </w:rPr>
        <w:t>(</w:t>
      </w:r>
      <w:r>
        <w:rPr>
          <w:rFonts w:eastAsia="SimSun"/>
          <w:sz w:val="20"/>
          <w:szCs w:val="20"/>
        </w:rPr>
        <w:t xml:space="preserve">WA in </w:t>
      </w:r>
      <w:r>
        <w:rPr>
          <w:rFonts w:eastAsia="SimSun" w:hint="eastAsia"/>
          <w:sz w:val="20"/>
          <w:szCs w:val="20"/>
        </w:rPr>
        <w:t>RAN1 #96).</w:t>
      </w:r>
    </w:p>
    <w:p w14:paraId="5B64AD48" w14:textId="77777777" w:rsidR="000C20FD" w:rsidRDefault="00866A90">
      <w:pPr>
        <w:snapToGrid w:val="0"/>
        <w:spacing w:afterLines="50" w:after="120" w:line="22" w:lineRule="atLeast"/>
        <w:rPr>
          <w:sz w:val="20"/>
        </w:rPr>
      </w:pPr>
      <w:r>
        <w:rPr>
          <w:sz w:val="20"/>
        </w:rPr>
        <w:t>If the UE is in-coverage,</w:t>
      </w:r>
      <w:r>
        <w:rPr>
          <w:rFonts w:hint="eastAsia"/>
          <w:sz w:val="20"/>
        </w:rPr>
        <w:t xml:space="preserve"> the UE</w:t>
      </w:r>
      <w:r>
        <w:rPr>
          <w:sz w:val="20"/>
        </w:rPr>
        <w:t xml:space="preserve"> can select sidelink synchronization </w:t>
      </w:r>
      <w:r>
        <w:rPr>
          <w:rFonts w:hint="eastAsia"/>
          <w:sz w:val="20"/>
        </w:rPr>
        <w:t xml:space="preserve">reference by reusing the mechanism of LTE V2X. To be </w:t>
      </w:r>
      <w:r>
        <w:rPr>
          <w:sz w:val="20"/>
        </w:rPr>
        <w:t xml:space="preserve">more </w:t>
      </w:r>
      <w:r>
        <w:rPr>
          <w:rFonts w:hint="eastAsia"/>
          <w:sz w:val="20"/>
        </w:rPr>
        <w:t>specific, the UE selects network (gNB or eNB)</w:t>
      </w:r>
      <w:r>
        <w:rPr>
          <w:sz w:val="20"/>
        </w:rPr>
        <w:t xml:space="preserve"> or GNSS</w:t>
      </w:r>
      <w:r>
        <w:rPr>
          <w:rFonts w:hint="eastAsia"/>
          <w:sz w:val="20"/>
        </w:rPr>
        <w:t xml:space="preserve"> as the highest </w:t>
      </w:r>
      <w:r>
        <w:rPr>
          <w:sz w:val="20"/>
        </w:rPr>
        <w:t xml:space="preserve">synchronization </w:t>
      </w:r>
      <w:r>
        <w:rPr>
          <w:rFonts w:hint="eastAsia"/>
          <w:sz w:val="20"/>
        </w:rPr>
        <w:t>reference source</w:t>
      </w:r>
      <w:r>
        <w:rPr>
          <w:sz w:val="20"/>
        </w:rPr>
        <w:t>,</w:t>
      </w:r>
      <w:r>
        <w:rPr>
          <w:rFonts w:hint="eastAsia"/>
          <w:sz w:val="20"/>
        </w:rPr>
        <w:t xml:space="preserve"> </w:t>
      </w:r>
      <w:r>
        <w:rPr>
          <w:sz w:val="20"/>
        </w:rPr>
        <w:t>according to</w:t>
      </w:r>
      <w:r>
        <w:rPr>
          <w:rFonts w:hint="eastAsia"/>
          <w:sz w:val="20"/>
        </w:rPr>
        <w:t xml:space="preserve"> configuration</w:t>
      </w:r>
      <w:r>
        <w:rPr>
          <w:sz w:val="20"/>
        </w:rPr>
        <w:t xml:space="preserve"> from network.</w:t>
      </w:r>
      <w:r>
        <w:rPr>
          <w:rFonts w:hint="eastAsia"/>
          <w:sz w:val="20"/>
        </w:rPr>
        <w:t xml:space="preserve"> </w:t>
      </w:r>
    </w:p>
    <w:p w14:paraId="1E558D96" w14:textId="09DD4669" w:rsidR="000C20FD" w:rsidRPr="00866B93" w:rsidRDefault="00866A90" w:rsidP="00866B93">
      <w:pPr>
        <w:snapToGrid w:val="0"/>
        <w:spacing w:afterLines="50" w:after="120" w:line="22" w:lineRule="atLeast"/>
        <w:rPr>
          <w:sz w:val="20"/>
        </w:rPr>
      </w:pPr>
      <w:r>
        <w:rPr>
          <w:sz w:val="20"/>
        </w:rPr>
        <w:t xml:space="preserve">If the UE is out-of-coverage, the UE </w:t>
      </w:r>
      <w:r>
        <w:rPr>
          <w:rFonts w:hint="eastAsia"/>
          <w:sz w:val="20"/>
        </w:rPr>
        <w:t xml:space="preserve">can select </w:t>
      </w:r>
      <w:r>
        <w:rPr>
          <w:sz w:val="20"/>
        </w:rPr>
        <w:t xml:space="preserve">synchronization </w:t>
      </w:r>
      <w:r>
        <w:rPr>
          <w:rFonts w:hint="eastAsia"/>
          <w:sz w:val="20"/>
        </w:rPr>
        <w:t>reference according to synchronization priority order pre-configured. The working assumption reached in RAN1 #96 meeting can be accepted as the synchronization priority order.</w:t>
      </w:r>
    </w:p>
    <w:p w14:paraId="53257667" w14:textId="77777777" w:rsidR="000C20FD" w:rsidRDefault="00866A90">
      <w:pPr>
        <w:pStyle w:val="YJ-Proposal"/>
        <w:snapToGrid w:val="0"/>
        <w:spacing w:afterLines="50" w:after="120" w:line="260" w:lineRule="auto"/>
        <w:rPr>
          <w:lang w:val="en-US" w:eastAsia="zh-CN"/>
        </w:rPr>
      </w:pPr>
      <w:bookmarkStart w:id="17" w:name="_Toc7474994"/>
      <w:r>
        <w:rPr>
          <w:rFonts w:hint="eastAsia"/>
          <w:lang w:val="en-US" w:eastAsia="zh-CN"/>
        </w:rPr>
        <w:t xml:space="preserve">For </w:t>
      </w:r>
      <w:r>
        <w:rPr>
          <w:rFonts w:eastAsia="SimSun" w:hint="eastAsia"/>
          <w:lang w:val="en-US" w:eastAsia="zh-CN"/>
        </w:rPr>
        <w:t xml:space="preserve">the </w:t>
      </w:r>
      <w:r>
        <w:rPr>
          <w:rFonts w:eastAsia="SimSun"/>
          <w:lang w:val="en-US" w:eastAsia="zh-CN"/>
        </w:rPr>
        <w:t xml:space="preserve">in-coverage </w:t>
      </w:r>
      <w:r>
        <w:rPr>
          <w:rFonts w:eastAsia="SimSun" w:hint="eastAsia"/>
          <w:lang w:val="en-US" w:eastAsia="zh-CN"/>
        </w:rPr>
        <w:t>UEs, the m</w:t>
      </w:r>
      <w:r>
        <w:rPr>
          <w:rFonts w:eastAsia="SimSun"/>
          <w:lang w:val="en-US" w:eastAsia="zh-CN"/>
        </w:rPr>
        <w:t>e</w:t>
      </w:r>
      <w:r>
        <w:rPr>
          <w:rFonts w:eastAsia="SimSun" w:hint="eastAsia"/>
          <w:lang w:val="en-US" w:eastAsia="zh-CN"/>
        </w:rPr>
        <w:t>ch</w:t>
      </w:r>
      <w:r>
        <w:rPr>
          <w:rFonts w:eastAsia="SimSun"/>
          <w:lang w:val="en-US" w:eastAsia="zh-CN"/>
        </w:rPr>
        <w:t>a</w:t>
      </w:r>
      <w:r>
        <w:rPr>
          <w:rFonts w:eastAsia="SimSun" w:hint="eastAsia"/>
          <w:lang w:val="en-US" w:eastAsia="zh-CN"/>
        </w:rPr>
        <w:t xml:space="preserve">nism of </w:t>
      </w:r>
      <w:r>
        <w:rPr>
          <w:lang w:val="en-US" w:eastAsia="zh-CN"/>
        </w:rPr>
        <w:t xml:space="preserve">synchronization </w:t>
      </w:r>
      <w:r>
        <w:rPr>
          <w:rFonts w:hint="eastAsia"/>
          <w:lang w:val="en-US" w:eastAsia="zh-CN"/>
        </w:rPr>
        <w:t>reference selection</w:t>
      </w:r>
      <w:r>
        <w:rPr>
          <w:rFonts w:eastAsia="SimSun" w:hint="eastAsia"/>
          <w:lang w:val="en-US" w:eastAsia="zh-CN"/>
        </w:rPr>
        <w:t xml:space="preserve"> in LTE V2X </w:t>
      </w:r>
      <w:r>
        <w:rPr>
          <w:rFonts w:eastAsia="SimSun"/>
          <w:lang w:val="en-US" w:eastAsia="zh-CN"/>
        </w:rPr>
        <w:t>is</w:t>
      </w:r>
      <w:r>
        <w:rPr>
          <w:rFonts w:eastAsia="SimSun" w:hint="eastAsia"/>
          <w:lang w:val="en-US" w:eastAsia="zh-CN"/>
        </w:rPr>
        <w:t xml:space="preserve"> reused for NR V2X.</w:t>
      </w:r>
      <w:bookmarkEnd w:id="17"/>
    </w:p>
    <w:p w14:paraId="22E8B312" w14:textId="6394316E" w:rsidR="000C20FD" w:rsidRPr="00866B93" w:rsidRDefault="00866A90" w:rsidP="00866B93">
      <w:pPr>
        <w:pStyle w:val="YJ-Proposal"/>
        <w:snapToGrid w:val="0"/>
        <w:spacing w:afterLines="50" w:after="120" w:line="260" w:lineRule="auto"/>
        <w:rPr>
          <w:lang w:val="en-US" w:eastAsia="zh-CN"/>
        </w:rPr>
      </w:pPr>
      <w:bookmarkStart w:id="18" w:name="_Toc7474995"/>
      <w:r>
        <w:rPr>
          <w:rFonts w:hint="eastAsia"/>
          <w:lang w:val="en-US" w:eastAsia="zh-CN"/>
        </w:rPr>
        <w:t xml:space="preserve">Confirm </w:t>
      </w:r>
      <w:r>
        <w:rPr>
          <w:rFonts w:eastAsia="SimSun" w:hint="eastAsia"/>
          <w:lang w:val="en-US" w:eastAsia="zh-CN"/>
        </w:rPr>
        <w:t xml:space="preserve">the </w:t>
      </w:r>
      <w:r>
        <w:rPr>
          <w:rFonts w:eastAsia="SimSun"/>
          <w:lang w:val="en-US" w:eastAsia="zh-CN"/>
        </w:rPr>
        <w:t>WA</w:t>
      </w:r>
      <w:r>
        <w:rPr>
          <w:rFonts w:eastAsia="SimSun" w:hint="eastAsia"/>
          <w:lang w:val="en-US" w:eastAsia="zh-CN"/>
        </w:rPr>
        <w:t xml:space="preserve"> in RAN1 #96 for the</w:t>
      </w:r>
      <w:r>
        <w:rPr>
          <w:rFonts w:hint="eastAsia"/>
          <w:lang w:val="en-US" w:eastAsia="zh-CN"/>
        </w:rPr>
        <w:t xml:space="preserve"> </w:t>
      </w:r>
      <w:r>
        <w:rPr>
          <w:lang w:val="en-US" w:eastAsia="zh-CN"/>
        </w:rPr>
        <w:t xml:space="preserve">synchronization </w:t>
      </w:r>
      <w:r>
        <w:rPr>
          <w:rFonts w:hint="eastAsia"/>
          <w:lang w:val="en-US" w:eastAsia="zh-CN"/>
        </w:rPr>
        <w:t xml:space="preserve">reference selection </w:t>
      </w:r>
      <w:r>
        <w:rPr>
          <w:lang w:val="en-US" w:eastAsia="zh-CN"/>
        </w:rPr>
        <w:t xml:space="preserve">for </w:t>
      </w:r>
      <w:r>
        <w:rPr>
          <w:rFonts w:hint="eastAsia"/>
          <w:lang w:val="en-US" w:eastAsia="zh-CN"/>
        </w:rPr>
        <w:t>out</w:t>
      </w:r>
      <w:r>
        <w:rPr>
          <w:lang w:val="en-US" w:eastAsia="zh-CN"/>
        </w:rPr>
        <w:t>-</w:t>
      </w:r>
      <w:r>
        <w:rPr>
          <w:rFonts w:hint="eastAsia"/>
          <w:lang w:val="en-US" w:eastAsia="zh-CN"/>
        </w:rPr>
        <w:t>of</w:t>
      </w:r>
      <w:r>
        <w:rPr>
          <w:lang w:val="en-US" w:eastAsia="zh-CN"/>
        </w:rPr>
        <w:t>-</w:t>
      </w:r>
      <w:r>
        <w:rPr>
          <w:rFonts w:hint="eastAsia"/>
          <w:lang w:val="en-US" w:eastAsia="zh-CN"/>
        </w:rPr>
        <w:t>coverage</w:t>
      </w:r>
      <w:r>
        <w:rPr>
          <w:lang w:val="en-US" w:eastAsia="zh-CN"/>
        </w:rPr>
        <w:t xml:space="preserve"> UE</w:t>
      </w:r>
      <w:r>
        <w:rPr>
          <w:rFonts w:hint="eastAsia"/>
          <w:lang w:val="en-US" w:eastAsia="zh-CN"/>
        </w:rPr>
        <w:t>.</w:t>
      </w:r>
      <w:bookmarkEnd w:id="18"/>
    </w:p>
    <w:p w14:paraId="7EB8752D" w14:textId="08E2E2F2" w:rsidR="000C20FD" w:rsidRDefault="00866A90">
      <w:pPr>
        <w:snapToGrid w:val="0"/>
        <w:spacing w:afterLines="50" w:after="120" w:line="260" w:lineRule="auto"/>
        <w:rPr>
          <w:sz w:val="20"/>
        </w:rPr>
      </w:pPr>
      <w:r>
        <w:rPr>
          <w:rFonts w:hint="eastAsia"/>
          <w:sz w:val="20"/>
        </w:rPr>
        <w:t xml:space="preserve">It is agreed that a UE selects the </w:t>
      </w:r>
      <w:r>
        <w:rPr>
          <w:sz w:val="20"/>
        </w:rPr>
        <w:t xml:space="preserve">available </w:t>
      </w:r>
      <w:r>
        <w:rPr>
          <w:rFonts w:hint="eastAsia"/>
          <w:sz w:val="20"/>
        </w:rPr>
        <w:t xml:space="preserve">synchronization </w:t>
      </w:r>
      <w:r>
        <w:rPr>
          <w:sz w:val="20"/>
        </w:rPr>
        <w:t>reference</w:t>
      </w:r>
      <w:r>
        <w:rPr>
          <w:rFonts w:hint="eastAsia"/>
          <w:sz w:val="20"/>
        </w:rPr>
        <w:t xml:space="preserve"> with the highest priority as the reference </w:t>
      </w:r>
      <w:r>
        <w:rPr>
          <w:sz w:val="20"/>
        </w:rPr>
        <w:t>to derive its transmission timing</w:t>
      </w:r>
      <w:r>
        <w:rPr>
          <w:rFonts w:hint="eastAsia"/>
          <w:sz w:val="20"/>
        </w:rPr>
        <w:t>. W</w:t>
      </w:r>
      <w:r>
        <w:rPr>
          <w:rFonts w:eastAsia="Malgun Gothic"/>
          <w:sz w:val="20"/>
        </w:rPr>
        <w:t>hen there are two or more references belonging to the same highest priority</w:t>
      </w:r>
      <w:r>
        <w:rPr>
          <w:rFonts w:hint="eastAsia"/>
          <w:sz w:val="20"/>
        </w:rPr>
        <w:t xml:space="preserve">, how to handle is </w:t>
      </w:r>
      <w:r>
        <w:rPr>
          <w:sz w:val="20"/>
        </w:rPr>
        <w:t>FFS</w:t>
      </w:r>
      <w:r>
        <w:rPr>
          <w:rFonts w:hint="eastAsia"/>
          <w:sz w:val="20"/>
        </w:rPr>
        <w:t>.</w:t>
      </w:r>
      <w:r>
        <w:rPr>
          <w:sz w:val="20"/>
        </w:rPr>
        <w:t xml:space="preserve"> </w:t>
      </w:r>
      <w:r>
        <w:rPr>
          <w:rFonts w:hint="eastAsia"/>
          <w:sz w:val="20"/>
        </w:rPr>
        <w:t xml:space="preserve">In our view, the further reference selection should be based on the RSRP of sidelink synchronization signal, </w:t>
      </w:r>
      <w:r>
        <w:rPr>
          <w:sz w:val="20"/>
        </w:rPr>
        <w:t>as</w:t>
      </w:r>
      <w:r>
        <w:rPr>
          <w:rFonts w:hint="eastAsia"/>
          <w:sz w:val="20"/>
        </w:rPr>
        <w:t xml:space="preserve"> in LTE V2X.</w:t>
      </w:r>
    </w:p>
    <w:p w14:paraId="05743F54" w14:textId="77777777" w:rsidR="000C20FD" w:rsidRDefault="00866A90">
      <w:pPr>
        <w:pStyle w:val="YJ-Proposal"/>
        <w:snapToGrid w:val="0"/>
        <w:spacing w:afterLines="50" w:after="120" w:line="260" w:lineRule="auto"/>
        <w:rPr>
          <w:lang w:val="en-US" w:eastAsia="zh-CN"/>
        </w:rPr>
      </w:pPr>
      <w:bookmarkStart w:id="19" w:name="_Toc7474996"/>
      <w:r>
        <w:rPr>
          <w:rFonts w:hint="eastAsia"/>
          <w:lang w:val="en-US" w:eastAsia="zh-CN"/>
        </w:rPr>
        <w:t xml:space="preserve">When </w:t>
      </w:r>
      <w:r>
        <w:rPr>
          <w:rFonts w:eastAsia="SimSun" w:hint="eastAsia"/>
          <w:lang w:val="en-US" w:eastAsia="zh-CN"/>
        </w:rPr>
        <w:t xml:space="preserve">there are </w:t>
      </w:r>
      <w:r>
        <w:rPr>
          <w:rFonts w:eastAsia="SimSun"/>
          <w:lang w:val="en-US" w:eastAsia="zh-CN"/>
        </w:rPr>
        <w:t>more than one</w:t>
      </w:r>
      <w:r>
        <w:rPr>
          <w:rFonts w:eastAsia="SimSun" w:hint="eastAsia"/>
          <w:lang w:val="en-US" w:eastAsia="zh-CN"/>
        </w:rPr>
        <w:t xml:space="preserve"> </w:t>
      </w:r>
      <w:r>
        <w:rPr>
          <w:rFonts w:eastAsia="SimSun"/>
          <w:lang w:val="en-US" w:eastAsia="zh-CN"/>
        </w:rPr>
        <w:t xml:space="preserve">synchronization </w:t>
      </w:r>
      <w:r>
        <w:rPr>
          <w:rFonts w:eastAsia="SimSun" w:hint="eastAsia"/>
          <w:lang w:val="en-US" w:eastAsia="zh-CN"/>
        </w:rPr>
        <w:t xml:space="preserve">references </w:t>
      </w:r>
      <w:r>
        <w:rPr>
          <w:rFonts w:eastAsia="SimSun"/>
          <w:lang w:val="en-US" w:eastAsia="zh-CN"/>
        </w:rPr>
        <w:t xml:space="preserve">belonging to the </w:t>
      </w:r>
      <w:r>
        <w:rPr>
          <w:rFonts w:eastAsia="SimSun" w:hint="eastAsia"/>
          <w:lang w:val="en-US" w:eastAsia="zh-CN"/>
        </w:rPr>
        <w:t xml:space="preserve">same </w:t>
      </w:r>
      <w:r>
        <w:rPr>
          <w:rFonts w:eastAsia="SimSun"/>
          <w:lang w:val="en-US" w:eastAsia="zh-CN"/>
        </w:rPr>
        <w:t xml:space="preserve">highest </w:t>
      </w:r>
      <w:r>
        <w:rPr>
          <w:rFonts w:eastAsia="SimSun" w:hint="eastAsia"/>
          <w:lang w:val="en-US" w:eastAsia="zh-CN"/>
        </w:rPr>
        <w:t>priority</w:t>
      </w:r>
      <w:r>
        <w:rPr>
          <w:rFonts w:eastAsia="SimSun"/>
          <w:lang w:val="en-US" w:eastAsia="zh-CN"/>
        </w:rPr>
        <w:t xml:space="preserve">, </w:t>
      </w:r>
      <w:r>
        <w:rPr>
          <w:rFonts w:eastAsia="SimSun" w:hint="eastAsia"/>
          <w:lang w:val="en-US" w:eastAsia="zh-CN"/>
        </w:rPr>
        <w:t xml:space="preserve">the UE should select reference </w:t>
      </w:r>
      <w:r>
        <w:rPr>
          <w:rFonts w:eastAsia="SimSun"/>
          <w:lang w:val="en-US" w:eastAsia="zh-CN"/>
        </w:rPr>
        <w:t xml:space="preserve">UE </w:t>
      </w:r>
      <w:r>
        <w:rPr>
          <w:rFonts w:eastAsia="SimSun" w:hint="eastAsia"/>
          <w:lang w:val="en-US" w:eastAsia="zh-CN"/>
        </w:rPr>
        <w:t>with the highest S-RSRP.</w:t>
      </w:r>
      <w:bookmarkEnd w:id="19"/>
    </w:p>
    <w:p w14:paraId="57AE3648" w14:textId="77777777" w:rsidR="000C20FD" w:rsidRDefault="00866A90">
      <w:pPr>
        <w:adjustRightInd w:val="0"/>
        <w:snapToGrid w:val="0"/>
        <w:spacing w:afterLines="50" w:after="120" w:line="260" w:lineRule="auto"/>
        <w:rPr>
          <w:rFonts w:cs="Arial"/>
          <w:bCs/>
          <w:i/>
          <w:sz w:val="24"/>
          <w:szCs w:val="24"/>
          <w:u w:val="single"/>
        </w:rPr>
      </w:pPr>
      <w:r>
        <w:rPr>
          <w:rFonts w:cs="Arial" w:hint="eastAsia"/>
          <w:bCs/>
          <w:i/>
          <w:sz w:val="24"/>
          <w:szCs w:val="24"/>
          <w:u w:val="single"/>
        </w:rPr>
        <w:t>S-SSB transmission/reception</w:t>
      </w:r>
    </w:p>
    <w:p w14:paraId="51654DE8" w14:textId="77777777" w:rsidR="000C20FD" w:rsidRDefault="00866A90">
      <w:pPr>
        <w:snapToGrid w:val="0"/>
        <w:spacing w:afterLines="50" w:after="120" w:line="22" w:lineRule="atLeast"/>
        <w:rPr>
          <w:sz w:val="20"/>
        </w:rPr>
      </w:pPr>
      <w:r>
        <w:rPr>
          <w:rFonts w:hint="eastAsia"/>
          <w:sz w:val="20"/>
        </w:rPr>
        <w:lastRenderedPageBreak/>
        <w:t>In LTE V2X, when UEs cannot synchronize to GNSS or network directly, they shall detect SLSSs rel</w:t>
      </w:r>
      <w:r>
        <w:rPr>
          <w:sz w:val="20"/>
        </w:rPr>
        <w:t>a</w:t>
      </w:r>
      <w:r>
        <w:rPr>
          <w:rFonts w:hint="eastAsia"/>
          <w:sz w:val="20"/>
        </w:rPr>
        <w:t>yed by other UEs synchroniz</w:t>
      </w:r>
      <w:r>
        <w:rPr>
          <w:sz w:val="20"/>
        </w:rPr>
        <w:t>ing</w:t>
      </w:r>
      <w:r>
        <w:rPr>
          <w:rFonts w:hint="eastAsia"/>
          <w:sz w:val="20"/>
        </w:rPr>
        <w:t xml:space="preserve"> to GNSS or network </w:t>
      </w:r>
      <w:r>
        <w:rPr>
          <w:sz w:val="20"/>
        </w:rPr>
        <w:t xml:space="preserve">either </w:t>
      </w:r>
      <w:r>
        <w:rPr>
          <w:rFonts w:hint="eastAsia"/>
          <w:sz w:val="20"/>
        </w:rPr>
        <w:t xml:space="preserve">directly or indirectly. At the same time, they would transmit SLSS if the transmission condition </w:t>
      </w:r>
      <w:r>
        <w:rPr>
          <w:sz w:val="20"/>
        </w:rPr>
        <w:t xml:space="preserve">on Uu link </w:t>
      </w:r>
      <w:r>
        <w:rPr>
          <w:rFonts w:hint="eastAsia"/>
          <w:sz w:val="20"/>
        </w:rPr>
        <w:t xml:space="preserve">(e.g., RSRP </w:t>
      </w:r>
      <w:r>
        <w:rPr>
          <w:sz w:val="20"/>
        </w:rPr>
        <w:t xml:space="preserve">on Uu </w:t>
      </w:r>
      <w:r>
        <w:rPr>
          <w:rFonts w:hint="eastAsia"/>
          <w:sz w:val="20"/>
        </w:rPr>
        <w:t xml:space="preserve">below a (pre)-configured </w:t>
      </w:r>
      <w:r>
        <w:rPr>
          <w:sz w:val="20"/>
        </w:rPr>
        <w:t>threshold, indicating a cell-edge situation</w:t>
      </w:r>
      <w:r>
        <w:rPr>
          <w:rFonts w:hint="eastAsia"/>
          <w:sz w:val="20"/>
        </w:rPr>
        <w:t xml:space="preserve">) is met or the instruction is available. </w:t>
      </w:r>
      <w:r>
        <w:rPr>
          <w:sz w:val="20"/>
        </w:rPr>
        <w:t>The</w:t>
      </w:r>
      <w:r>
        <w:rPr>
          <w:rFonts w:hint="eastAsia"/>
          <w:sz w:val="20"/>
        </w:rPr>
        <w:t xml:space="preserve"> same mechanism can be reused for NR V2X.</w:t>
      </w:r>
    </w:p>
    <w:p w14:paraId="366AB0BF" w14:textId="22AA4BE2" w:rsidR="000C20FD" w:rsidRDefault="00866A90">
      <w:pPr>
        <w:snapToGrid w:val="0"/>
        <w:spacing w:before="156" w:afterLines="50" w:after="120" w:line="22" w:lineRule="atLeast"/>
        <w:rPr>
          <w:sz w:val="20"/>
        </w:rPr>
      </w:pPr>
      <w:r>
        <w:rPr>
          <w:rFonts w:hint="eastAsia"/>
          <w:sz w:val="20"/>
        </w:rPr>
        <w:t>One case should be noted when one UE (assumed as UE1) synchronize</w:t>
      </w:r>
      <w:r>
        <w:rPr>
          <w:sz w:val="20"/>
        </w:rPr>
        <w:t>s</w:t>
      </w:r>
      <w:r>
        <w:rPr>
          <w:rFonts w:hint="eastAsia"/>
          <w:sz w:val="20"/>
        </w:rPr>
        <w:t xml:space="preserve"> to eNB while another proximate UE (assumed as UE2) synchronize</w:t>
      </w:r>
      <w:r>
        <w:rPr>
          <w:sz w:val="20"/>
        </w:rPr>
        <w:t>s</w:t>
      </w:r>
      <w:r w:rsidR="00F12DF4">
        <w:rPr>
          <w:rFonts w:hint="eastAsia"/>
          <w:sz w:val="20"/>
        </w:rPr>
        <w:t xml:space="preserve"> to gNB, as shown in Figure 6</w:t>
      </w:r>
      <w:r>
        <w:rPr>
          <w:rFonts w:hint="eastAsia"/>
          <w:sz w:val="20"/>
        </w:rPr>
        <w:t xml:space="preserve">. In this case, the range covered by eNB and the range covered by gNB may overlap and UE1 may be in the sidelink communication range of UE2. If the SLSS transmission condition in LTE V2X </w:t>
      </w:r>
      <w:r>
        <w:rPr>
          <w:sz w:val="20"/>
        </w:rPr>
        <w:t xml:space="preserve">is </w:t>
      </w:r>
      <w:r>
        <w:rPr>
          <w:rFonts w:hint="eastAsia"/>
          <w:sz w:val="20"/>
        </w:rPr>
        <w:t>fully</w:t>
      </w:r>
      <w:r>
        <w:rPr>
          <w:sz w:val="20"/>
        </w:rPr>
        <w:t xml:space="preserve"> reused for NR SL</w:t>
      </w:r>
      <w:r>
        <w:rPr>
          <w:rFonts w:hint="eastAsia"/>
          <w:sz w:val="20"/>
        </w:rPr>
        <w:t>, the UE2 may not transmit SLSS if the RSRP is not below the configured threshold value. If the timings of eNB and gNB are not aligned, the UE1 cannot receive the sidelink data from UE2 because it cannot determine the receiving timing for UE2. From this point, further enhancements need to be considered</w:t>
      </w:r>
      <w:r>
        <w:rPr>
          <w:sz w:val="20"/>
        </w:rPr>
        <w:t>, for example, the UE always transmits S-SSB on NR SL in this case</w:t>
      </w:r>
      <w:r>
        <w:rPr>
          <w:rFonts w:hint="eastAsia"/>
          <w:sz w:val="20"/>
        </w:rPr>
        <w:t xml:space="preserve">. </w:t>
      </w:r>
    </w:p>
    <w:p w14:paraId="360B65B4" w14:textId="77777777" w:rsidR="000C20FD" w:rsidRDefault="00866A90">
      <w:pPr>
        <w:spacing w:before="156"/>
        <w:jc w:val="center"/>
      </w:pPr>
      <w:r>
        <w:object w:dxaOrig="5160" w:dyaOrig="2265" w14:anchorId="193AD797">
          <v:shape id="_x0000_i1030" type="#_x0000_t75" style="width:258.7pt;height:113.45pt" o:ole="">
            <v:imagedata r:id="rId20" o:title=""/>
          </v:shape>
          <o:OLEObject Type="Embed" ProgID="Visio.Drawing.11" ShapeID="_x0000_i1030" DrawAspect="Content" ObjectID="_1618365251" r:id="rId21"/>
        </w:object>
      </w:r>
    </w:p>
    <w:p w14:paraId="16D28C8E" w14:textId="016DD013" w:rsidR="000C20FD" w:rsidRDefault="00F12DF4" w:rsidP="00866B93">
      <w:pPr>
        <w:adjustRightInd w:val="0"/>
        <w:snapToGrid w:val="0"/>
        <w:spacing w:afterLines="50" w:after="120" w:line="260" w:lineRule="auto"/>
        <w:jc w:val="center"/>
      </w:pPr>
      <w:r>
        <w:rPr>
          <w:rFonts w:hint="eastAsia"/>
        </w:rPr>
        <w:t>Fig. 6</w:t>
      </w:r>
      <w:r w:rsidR="00866A90">
        <w:rPr>
          <w:rFonts w:hint="eastAsia"/>
        </w:rPr>
        <w:t xml:space="preserve"> </w:t>
      </w:r>
      <w:r w:rsidR="00866A90">
        <w:t xml:space="preserve">Synchronization issue </w:t>
      </w:r>
      <w:r w:rsidR="00866A90">
        <w:rPr>
          <w:rFonts w:eastAsia="DengXian" w:hint="eastAsia"/>
          <w:sz w:val="20"/>
        </w:rPr>
        <w:t xml:space="preserve">between </w:t>
      </w:r>
      <w:r w:rsidR="00866A90">
        <w:t>UE sync to eNB and UE sync to gNB</w:t>
      </w:r>
    </w:p>
    <w:p w14:paraId="53B9C272" w14:textId="6FC9BECB" w:rsidR="000C20FD" w:rsidRPr="00CC0C32" w:rsidRDefault="00866A90" w:rsidP="00CC0C32">
      <w:pPr>
        <w:pStyle w:val="YJ-Proposal"/>
        <w:snapToGrid w:val="0"/>
        <w:spacing w:before="240" w:afterLines="50" w:after="120"/>
        <w:rPr>
          <w:lang w:val="en-US" w:eastAsia="zh-CN"/>
        </w:rPr>
      </w:pPr>
      <w:bookmarkStart w:id="20" w:name="_Toc7474997"/>
      <w:r>
        <w:rPr>
          <w:rFonts w:eastAsia="SimSun" w:hint="eastAsia"/>
          <w:lang w:val="en-US" w:eastAsia="zh-CN"/>
        </w:rPr>
        <w:t xml:space="preserve">The SLSS </w:t>
      </w:r>
      <w:r>
        <w:rPr>
          <w:rFonts w:hint="eastAsia"/>
          <w:lang w:val="en-US" w:eastAsia="zh-CN"/>
        </w:rPr>
        <w:t>transmission</w:t>
      </w:r>
      <w:r>
        <w:rPr>
          <w:rFonts w:eastAsia="SimSun" w:hint="eastAsia"/>
          <w:lang w:val="en-US" w:eastAsia="zh-CN"/>
        </w:rPr>
        <w:t xml:space="preserve">/reception in LTE V2X should be </w:t>
      </w:r>
      <w:r>
        <w:rPr>
          <w:rFonts w:eastAsia="SimSun"/>
          <w:lang w:val="en-US" w:eastAsia="zh-CN"/>
        </w:rPr>
        <w:t>taken</w:t>
      </w:r>
      <w:r>
        <w:rPr>
          <w:rFonts w:eastAsia="SimSun" w:hint="eastAsia"/>
          <w:lang w:val="en-US" w:eastAsia="zh-CN"/>
        </w:rPr>
        <w:t xml:space="preserve"> as starting point for NR V2X</w:t>
      </w:r>
      <w:r w:rsidR="00CC0C32">
        <w:rPr>
          <w:rFonts w:eastAsia="SimSun" w:hint="eastAsia"/>
          <w:lang w:val="en-US" w:eastAsia="zh-CN"/>
        </w:rPr>
        <w:t xml:space="preserve">, with exception that </w:t>
      </w:r>
      <w:r w:rsidR="00CC0C32">
        <w:t>t</w:t>
      </w:r>
      <w:r w:rsidRPr="00CC0C32">
        <w:t>he</w:t>
      </w:r>
      <w:r w:rsidRPr="00CC0C32">
        <w:rPr>
          <w:rFonts w:hint="eastAsia"/>
        </w:rPr>
        <w:t xml:space="preserve"> UE synchronizing to gNB/eNB should transmit S-SSB</w:t>
      </w:r>
      <w:r w:rsidRPr="00CC0C32">
        <w:t xml:space="preserve"> regardless of the received signal strength with the serving/reference cell.</w:t>
      </w:r>
      <w:bookmarkEnd w:id="20"/>
    </w:p>
    <w:p w14:paraId="186582E2" w14:textId="77777777" w:rsidR="000C20FD" w:rsidRDefault="000C20FD">
      <w:pPr>
        <w:spacing w:before="156"/>
      </w:pPr>
    </w:p>
    <w:p w14:paraId="095AC80F" w14:textId="77777777" w:rsidR="000C20FD" w:rsidRDefault="00866A90">
      <w:pPr>
        <w:adjustRightInd w:val="0"/>
        <w:snapToGrid w:val="0"/>
        <w:spacing w:afterLines="50" w:after="120" w:line="260" w:lineRule="auto"/>
      </w:pPr>
      <w:r>
        <w:rPr>
          <w:rFonts w:cs="Arial" w:hint="eastAsia"/>
          <w:bCs/>
          <w:i/>
          <w:sz w:val="24"/>
          <w:szCs w:val="24"/>
          <w:u w:val="single"/>
        </w:rPr>
        <w:t>UE capability of S-SSB transmission</w:t>
      </w:r>
    </w:p>
    <w:p w14:paraId="7AB9A483" w14:textId="6830A5AE" w:rsidR="000C20FD" w:rsidRDefault="00866A90">
      <w:pPr>
        <w:adjustRightInd w:val="0"/>
        <w:snapToGrid w:val="0"/>
        <w:spacing w:afterLines="50" w:after="120" w:line="260" w:lineRule="auto"/>
      </w:pPr>
      <w:r>
        <w:rPr>
          <w:rFonts w:hint="eastAsia"/>
          <w:szCs w:val="22"/>
        </w:rPr>
        <w:t xml:space="preserve">Sidelink communication </w:t>
      </w:r>
      <w:r>
        <w:rPr>
          <w:szCs w:val="22"/>
        </w:rPr>
        <w:t xml:space="preserve">requires </w:t>
      </w:r>
      <w:r>
        <w:rPr>
          <w:rFonts w:hint="eastAsia"/>
          <w:szCs w:val="22"/>
        </w:rPr>
        <w:t xml:space="preserve">sidelink synchronization, which can be based on synchronization to GNSS or network. If a UE cannot synchronize to GNSS or network directly, it can derive sidelink timing by detecting S-SSB (including SLSS) from other UEs </w:t>
      </w:r>
      <w:r>
        <w:rPr>
          <w:szCs w:val="22"/>
        </w:rPr>
        <w:t xml:space="preserve">that either </w:t>
      </w:r>
      <w:r>
        <w:rPr>
          <w:rFonts w:hint="eastAsia"/>
          <w:szCs w:val="22"/>
        </w:rPr>
        <w:t xml:space="preserve">directly or indirectly synchronize </w:t>
      </w:r>
      <w:r>
        <w:rPr>
          <w:szCs w:val="22"/>
        </w:rPr>
        <w:t xml:space="preserve">to </w:t>
      </w:r>
      <w:r>
        <w:rPr>
          <w:rFonts w:hint="eastAsia"/>
          <w:szCs w:val="22"/>
        </w:rPr>
        <w:t xml:space="preserve">GNSS or network. If </w:t>
      </w:r>
      <w:r>
        <w:rPr>
          <w:szCs w:val="22"/>
        </w:rPr>
        <w:t xml:space="preserve">some </w:t>
      </w:r>
      <w:r>
        <w:rPr>
          <w:rFonts w:hint="eastAsia"/>
          <w:szCs w:val="22"/>
        </w:rPr>
        <w:t xml:space="preserve">UEs are not capable of S-SSB transmission, </w:t>
      </w:r>
      <w:r>
        <w:rPr>
          <w:szCs w:val="22"/>
        </w:rPr>
        <w:t>the</w:t>
      </w:r>
      <w:r>
        <w:rPr>
          <w:rFonts w:hint="eastAsia"/>
          <w:szCs w:val="22"/>
        </w:rPr>
        <w:t xml:space="preserve"> proximate UEs cannot </w:t>
      </w:r>
      <w:r>
        <w:rPr>
          <w:szCs w:val="22"/>
        </w:rPr>
        <w:t xml:space="preserve">finish initial synchronization, nor can they perform </w:t>
      </w:r>
      <w:r>
        <w:rPr>
          <w:rFonts w:hint="eastAsia"/>
          <w:szCs w:val="22"/>
        </w:rPr>
        <w:t>sidelink communication</w:t>
      </w:r>
      <w:r>
        <w:rPr>
          <w:szCs w:val="22"/>
        </w:rPr>
        <w:t xml:space="preserve">. </w:t>
      </w:r>
      <w:r>
        <w:rPr>
          <w:rFonts w:hint="eastAsia"/>
          <w:szCs w:val="22"/>
        </w:rPr>
        <w:t>For example, in partial coverag</w:t>
      </w:r>
      <w:r w:rsidR="00F12DF4">
        <w:rPr>
          <w:rFonts w:hint="eastAsia"/>
          <w:szCs w:val="22"/>
        </w:rPr>
        <w:t>e scenario, as shown in Figure 7</w:t>
      </w:r>
      <w:r>
        <w:rPr>
          <w:rFonts w:hint="eastAsia"/>
          <w:szCs w:val="22"/>
        </w:rPr>
        <w:t xml:space="preserve">, the out-of-coverage UE (e.g., UE1) and the in-coverage UE (e.g., UE2) may be aligned </w:t>
      </w:r>
      <w:r>
        <w:rPr>
          <w:szCs w:val="22"/>
        </w:rPr>
        <w:t>to</w:t>
      </w:r>
      <w:r>
        <w:rPr>
          <w:rFonts w:hint="eastAsia"/>
          <w:szCs w:val="22"/>
        </w:rPr>
        <w:t xml:space="preserve"> different timings (e.g., network timing and GNSS timing). If both UE1 and UE2 are not capable of S-SSB transmission, they could not </w:t>
      </w:r>
      <w:r>
        <w:rPr>
          <w:szCs w:val="22"/>
        </w:rPr>
        <w:t>achieve</w:t>
      </w:r>
      <w:r>
        <w:rPr>
          <w:rFonts w:hint="eastAsia"/>
          <w:szCs w:val="22"/>
        </w:rPr>
        <w:t xml:space="preserve"> sidelink communication.</w:t>
      </w:r>
    </w:p>
    <w:p w14:paraId="3EE93737" w14:textId="77777777" w:rsidR="000C20FD" w:rsidRDefault="00866A90">
      <w:pPr>
        <w:spacing w:before="156"/>
        <w:jc w:val="center"/>
      </w:pPr>
      <w:r>
        <w:object w:dxaOrig="5325" w:dyaOrig="2730" w14:anchorId="016D831E">
          <v:shape id="_x0000_i1031" type="#_x0000_t75" style="width:265.8pt;height:136.45pt" o:ole="" filled="t" fillcolor="white [3212]">
            <v:imagedata r:id="rId22" o:title=""/>
          </v:shape>
          <o:OLEObject Type="Embed" ProgID="Visio.Drawing.11" ShapeID="_x0000_i1031" DrawAspect="Content" ObjectID="_1618365252" r:id="rId23"/>
        </w:object>
      </w:r>
    </w:p>
    <w:p w14:paraId="305B43ED" w14:textId="4F7B97D4" w:rsidR="000C20FD" w:rsidRDefault="00F12DF4" w:rsidP="00866B93">
      <w:pPr>
        <w:adjustRightInd w:val="0"/>
        <w:snapToGrid w:val="0"/>
        <w:spacing w:afterLines="50" w:after="120" w:line="260" w:lineRule="auto"/>
        <w:jc w:val="center"/>
      </w:pPr>
      <w:r>
        <w:rPr>
          <w:rFonts w:hint="eastAsia"/>
        </w:rPr>
        <w:t>Fig. 7</w:t>
      </w:r>
      <w:r w:rsidR="00866A90">
        <w:rPr>
          <w:rFonts w:hint="eastAsia"/>
        </w:rPr>
        <w:t xml:space="preserve"> </w:t>
      </w:r>
      <w:r w:rsidR="00866A90">
        <w:t xml:space="preserve">Synchronization issue </w:t>
      </w:r>
      <w:r w:rsidR="00866A90">
        <w:rPr>
          <w:rFonts w:eastAsia="DengXian" w:hint="eastAsia"/>
          <w:sz w:val="20"/>
        </w:rPr>
        <w:t xml:space="preserve">between </w:t>
      </w:r>
      <w:r w:rsidR="00866A90">
        <w:t>UEs with difference sync. references</w:t>
      </w:r>
    </w:p>
    <w:p w14:paraId="3849A833" w14:textId="15646A7C" w:rsidR="000C20FD" w:rsidRDefault="00866A90" w:rsidP="00866B93">
      <w:pPr>
        <w:pStyle w:val="YJ-Proposal"/>
        <w:snapToGrid w:val="0"/>
        <w:spacing w:before="240" w:afterLines="50" w:after="120"/>
      </w:pPr>
      <w:bookmarkStart w:id="21" w:name="_Toc7474998"/>
      <w:r>
        <w:rPr>
          <w:rFonts w:eastAsia="SimSun"/>
          <w:lang w:val="en-US" w:eastAsia="zh-CN"/>
        </w:rPr>
        <w:lastRenderedPageBreak/>
        <w:t xml:space="preserve">NR V2X UE should </w:t>
      </w:r>
      <w:r w:rsidR="00F12DF4">
        <w:rPr>
          <w:rFonts w:eastAsia="SimSun" w:hint="eastAsia"/>
          <w:lang w:val="en-US" w:eastAsia="zh-CN"/>
        </w:rPr>
        <w:t>have the capability</w:t>
      </w:r>
      <w:r w:rsidR="00F12DF4">
        <w:rPr>
          <w:rFonts w:eastAsia="SimSun"/>
          <w:lang w:val="en-US" w:eastAsia="zh-CN"/>
        </w:rPr>
        <w:t xml:space="preserve"> </w:t>
      </w:r>
      <w:r>
        <w:rPr>
          <w:rFonts w:eastAsia="SimSun"/>
          <w:lang w:val="en-US" w:eastAsia="zh-CN"/>
        </w:rPr>
        <w:t>of S-SSB transmission.</w:t>
      </w:r>
      <w:bookmarkEnd w:id="21"/>
    </w:p>
    <w:p w14:paraId="7CC682D7" w14:textId="77777777" w:rsidR="000C20FD" w:rsidRDefault="000C20FD">
      <w:pPr>
        <w:spacing w:before="156"/>
        <w:rPr>
          <w:szCs w:val="22"/>
        </w:rPr>
      </w:pPr>
    </w:p>
    <w:p w14:paraId="66967BE6" w14:textId="77777777" w:rsidR="000C20FD" w:rsidRDefault="00866A90">
      <w:pPr>
        <w:pStyle w:val="Heading1"/>
        <w:adjustRightInd w:val="0"/>
        <w:snapToGrid w:val="0"/>
        <w:spacing w:afterLines="50" w:after="120" w:line="260" w:lineRule="auto"/>
        <w:ind w:left="0"/>
        <w:rPr>
          <w:rFonts w:eastAsia="SimSun"/>
        </w:rPr>
      </w:pPr>
      <w:r>
        <w:rPr>
          <w:rFonts w:hint="eastAsia"/>
          <w:szCs w:val="22"/>
        </w:rPr>
        <w:t>Conclusion</w:t>
      </w:r>
    </w:p>
    <w:p w14:paraId="361C01E5" w14:textId="77777777" w:rsidR="000C20FD" w:rsidRDefault="00866A90">
      <w:pPr>
        <w:adjustRightInd w:val="0"/>
        <w:snapToGrid w:val="0"/>
        <w:spacing w:afterLines="50" w:after="120" w:line="260" w:lineRule="auto"/>
        <w:rPr>
          <w:sz w:val="20"/>
        </w:rPr>
      </w:pPr>
      <w:r>
        <w:rPr>
          <w:sz w:val="20"/>
        </w:rPr>
        <w:t>This contribution focuses on synchronization mechanism for NR V2X. It provides the following proposals</w:t>
      </w:r>
      <w:r>
        <w:rPr>
          <w:rFonts w:hint="eastAsia"/>
          <w:sz w:val="20"/>
        </w:rPr>
        <w:t xml:space="preserve"> and observations</w:t>
      </w:r>
      <w:r>
        <w:rPr>
          <w:sz w:val="20"/>
        </w:rPr>
        <w:t>:</w:t>
      </w:r>
    </w:p>
    <w:p w14:paraId="22505A85" w14:textId="77777777" w:rsidR="00F12DF4" w:rsidRDefault="00866A90">
      <w:pPr>
        <w:pStyle w:val="TOC1"/>
        <w:tabs>
          <w:tab w:val="left" w:pos="1540"/>
          <w:tab w:val="right" w:leader="dot" w:pos="9650"/>
        </w:tabs>
        <w:rPr>
          <w:rFonts w:asciiTheme="minorHAnsi" w:hAnsiTheme="minorHAnsi" w:cstheme="minorBidi"/>
          <w:b w:val="0"/>
          <w:i w:val="0"/>
          <w:noProof/>
          <w:kern w:val="0"/>
          <w:sz w:val="22"/>
          <w:szCs w:val="22"/>
        </w:rPr>
      </w:pPr>
      <w:r>
        <w:fldChar w:fldCharType="begin"/>
      </w:r>
      <w:r>
        <w:instrText>TOC \n  \t "YJ-Observation,1" \h</w:instrText>
      </w:r>
      <w:r>
        <w:fldChar w:fldCharType="separate"/>
      </w:r>
      <w:hyperlink w:anchor="_Toc7474984" w:history="1">
        <w:r w:rsidR="00F12DF4" w:rsidRPr="00882C9D">
          <w:rPr>
            <w:rStyle w:val="Hyperlink"/>
            <w:rFonts w:eastAsia="SimSun"/>
            <w:noProof/>
          </w:rPr>
          <w:t>Observation 1:</w:t>
        </w:r>
        <w:r w:rsidR="00F12DF4">
          <w:rPr>
            <w:rFonts w:asciiTheme="minorHAnsi" w:hAnsiTheme="minorHAnsi" w:cstheme="minorBidi"/>
            <w:b w:val="0"/>
            <w:i w:val="0"/>
            <w:noProof/>
            <w:kern w:val="0"/>
            <w:sz w:val="22"/>
            <w:szCs w:val="22"/>
          </w:rPr>
          <w:tab/>
        </w:r>
        <w:r w:rsidR="00F12DF4" w:rsidRPr="00882C9D">
          <w:rPr>
            <w:rStyle w:val="Hyperlink"/>
            <w:noProof/>
          </w:rPr>
          <w:t>For PSBCH, FDM DMRS pattern shows better performance than TDM DMRS pattern.</w:t>
        </w:r>
      </w:hyperlink>
    </w:p>
    <w:p w14:paraId="7FAD6F96" w14:textId="77777777" w:rsidR="00F12DF4" w:rsidRDefault="00FA09A1">
      <w:pPr>
        <w:pStyle w:val="TOC1"/>
        <w:tabs>
          <w:tab w:val="left" w:pos="1540"/>
          <w:tab w:val="right" w:leader="dot" w:pos="9650"/>
        </w:tabs>
        <w:rPr>
          <w:rFonts w:asciiTheme="minorHAnsi" w:hAnsiTheme="minorHAnsi" w:cstheme="minorBidi"/>
          <w:b w:val="0"/>
          <w:i w:val="0"/>
          <w:noProof/>
          <w:kern w:val="0"/>
          <w:sz w:val="22"/>
          <w:szCs w:val="22"/>
        </w:rPr>
      </w:pPr>
      <w:hyperlink w:anchor="_Toc7474985" w:history="1">
        <w:r w:rsidR="00F12DF4" w:rsidRPr="00882C9D">
          <w:rPr>
            <w:rStyle w:val="Hyperlink"/>
            <w:rFonts w:eastAsia="SimSun"/>
            <w:noProof/>
          </w:rPr>
          <w:t>Observation 2:</w:t>
        </w:r>
        <w:r w:rsidR="00F12DF4">
          <w:rPr>
            <w:rFonts w:asciiTheme="minorHAnsi" w:hAnsiTheme="minorHAnsi" w:cstheme="minorBidi"/>
            <w:b w:val="0"/>
            <w:i w:val="0"/>
            <w:noProof/>
            <w:kern w:val="0"/>
            <w:sz w:val="22"/>
            <w:szCs w:val="22"/>
          </w:rPr>
          <w:tab/>
        </w:r>
        <w:r w:rsidR="00F12DF4" w:rsidRPr="00882C9D">
          <w:rPr>
            <w:rStyle w:val="Hyperlink"/>
            <w:noProof/>
          </w:rPr>
          <w:t>It is hardly achievable to keep the PSBCH payload size no more than 56 bits if TDD UL/DL configuration are fully indicated in PSBCH.</w:t>
        </w:r>
      </w:hyperlink>
    </w:p>
    <w:p w14:paraId="6B8171C6" w14:textId="77777777" w:rsidR="000C20FD" w:rsidRDefault="00866A90">
      <w:pPr>
        <w:pStyle w:val="TOC1"/>
        <w:tabs>
          <w:tab w:val="right" w:leader="dot" w:pos="9660"/>
        </w:tabs>
        <w:adjustRightInd w:val="0"/>
        <w:snapToGrid w:val="0"/>
        <w:spacing w:afterLines="50" w:after="120" w:line="22" w:lineRule="atLeast"/>
      </w:pPr>
      <w:r>
        <w:fldChar w:fldCharType="end"/>
      </w:r>
    </w:p>
    <w:p w14:paraId="12AA0001" w14:textId="77777777" w:rsidR="00F12DF4" w:rsidRDefault="00866A90">
      <w:pPr>
        <w:pStyle w:val="TOC1"/>
        <w:tabs>
          <w:tab w:val="left" w:pos="1320"/>
          <w:tab w:val="right" w:leader="dot" w:pos="9650"/>
        </w:tabs>
        <w:rPr>
          <w:rFonts w:asciiTheme="minorHAnsi" w:hAnsiTheme="minorHAnsi" w:cstheme="minorBidi"/>
          <w:b w:val="0"/>
          <w:i w:val="0"/>
          <w:noProof/>
          <w:kern w:val="0"/>
          <w:sz w:val="22"/>
          <w:szCs w:val="22"/>
        </w:rPr>
      </w:pPr>
      <w:r>
        <w:fldChar w:fldCharType="begin"/>
      </w:r>
      <w:r>
        <w:instrText>TOC \n  \t "YJ-Proposal,1" \h</w:instrText>
      </w:r>
      <w:r>
        <w:fldChar w:fldCharType="separate"/>
      </w:r>
      <w:hyperlink w:anchor="_Toc7474990" w:history="1">
        <w:r w:rsidR="00F12DF4" w:rsidRPr="00F209CA">
          <w:rPr>
            <w:rStyle w:val="Hyperlink"/>
            <w:rFonts w:eastAsia="SimSun"/>
            <w:noProof/>
          </w:rPr>
          <w:t>Proposal 1:</w:t>
        </w:r>
        <w:r w:rsidR="00F12DF4">
          <w:rPr>
            <w:rFonts w:asciiTheme="minorHAnsi" w:hAnsiTheme="minorHAnsi" w:cstheme="minorBidi"/>
            <w:b w:val="0"/>
            <w:i w:val="0"/>
            <w:noProof/>
            <w:kern w:val="0"/>
            <w:sz w:val="22"/>
            <w:szCs w:val="22"/>
          </w:rPr>
          <w:tab/>
        </w:r>
        <w:r w:rsidR="00F12DF4" w:rsidRPr="00F209CA">
          <w:rPr>
            <w:rStyle w:val="Hyperlink"/>
            <w:noProof/>
          </w:rPr>
          <w:t>PSBCH DMRS is allocated to every PSBCH symbol.</w:t>
        </w:r>
      </w:hyperlink>
    </w:p>
    <w:p w14:paraId="1ECEE741" w14:textId="77777777" w:rsidR="00F12DF4" w:rsidRDefault="00FA09A1">
      <w:pPr>
        <w:pStyle w:val="TOC1"/>
        <w:tabs>
          <w:tab w:val="left" w:pos="1320"/>
          <w:tab w:val="right" w:leader="dot" w:pos="9650"/>
        </w:tabs>
        <w:rPr>
          <w:rFonts w:asciiTheme="minorHAnsi" w:hAnsiTheme="minorHAnsi" w:cstheme="minorBidi"/>
          <w:b w:val="0"/>
          <w:i w:val="0"/>
          <w:noProof/>
          <w:kern w:val="0"/>
          <w:sz w:val="22"/>
          <w:szCs w:val="22"/>
        </w:rPr>
      </w:pPr>
      <w:hyperlink w:anchor="_Toc7474991" w:history="1">
        <w:r w:rsidR="00F12DF4" w:rsidRPr="00F209CA">
          <w:rPr>
            <w:rStyle w:val="Hyperlink"/>
            <w:rFonts w:eastAsia="SimSun"/>
            <w:noProof/>
          </w:rPr>
          <w:t>Proposal 2:</w:t>
        </w:r>
        <w:r w:rsidR="00F12DF4">
          <w:rPr>
            <w:rFonts w:asciiTheme="minorHAnsi" w:hAnsiTheme="minorHAnsi" w:cstheme="minorBidi"/>
            <w:b w:val="0"/>
            <w:i w:val="0"/>
            <w:noProof/>
            <w:kern w:val="0"/>
            <w:sz w:val="22"/>
            <w:szCs w:val="22"/>
          </w:rPr>
          <w:tab/>
        </w:r>
        <w:r w:rsidR="00F12DF4" w:rsidRPr="00F209CA">
          <w:rPr>
            <w:rStyle w:val="Hyperlink"/>
            <w:noProof/>
          </w:rPr>
          <w:t>For 15kHz SCS, the S-SSB construction per symbol level is {PSBCH, PSBCH, PSBCH, S-PSS, S-PSS, PSBCH, PSBCH, PSBCH, S-SSS, S-SSS, Gap}.</w:t>
        </w:r>
      </w:hyperlink>
    </w:p>
    <w:p w14:paraId="028A67A2" w14:textId="77777777" w:rsidR="00F12DF4" w:rsidRDefault="00FA09A1">
      <w:pPr>
        <w:pStyle w:val="TOC1"/>
        <w:tabs>
          <w:tab w:val="left" w:pos="1320"/>
          <w:tab w:val="right" w:leader="dot" w:pos="9650"/>
        </w:tabs>
        <w:rPr>
          <w:rFonts w:asciiTheme="minorHAnsi" w:hAnsiTheme="minorHAnsi" w:cstheme="minorBidi"/>
          <w:b w:val="0"/>
          <w:i w:val="0"/>
          <w:noProof/>
          <w:kern w:val="0"/>
          <w:sz w:val="22"/>
          <w:szCs w:val="22"/>
        </w:rPr>
      </w:pPr>
      <w:hyperlink w:anchor="_Toc7474992" w:history="1">
        <w:r w:rsidR="00F12DF4" w:rsidRPr="00F209CA">
          <w:rPr>
            <w:rStyle w:val="Hyperlink"/>
            <w:rFonts w:eastAsia="SimSun"/>
            <w:noProof/>
          </w:rPr>
          <w:t>Proposal 3:</w:t>
        </w:r>
        <w:r w:rsidR="00F12DF4">
          <w:rPr>
            <w:rFonts w:asciiTheme="minorHAnsi" w:hAnsiTheme="minorHAnsi" w:cstheme="minorBidi"/>
            <w:b w:val="0"/>
            <w:i w:val="0"/>
            <w:noProof/>
            <w:kern w:val="0"/>
            <w:sz w:val="22"/>
            <w:szCs w:val="22"/>
          </w:rPr>
          <w:tab/>
        </w:r>
        <w:r w:rsidR="00F12DF4" w:rsidRPr="00F209CA">
          <w:rPr>
            <w:rStyle w:val="Hyperlink"/>
            <w:noProof/>
          </w:rPr>
          <w:t xml:space="preserve">Two </w:t>
        </w:r>
        <w:r w:rsidR="00F12DF4" w:rsidRPr="00F209CA">
          <w:rPr>
            <w:rStyle w:val="Hyperlink"/>
            <w:rFonts w:eastAsia="SimSun"/>
            <w:noProof/>
          </w:rPr>
          <w:t>sets of candidate synchronization resources with TDM in a synchronization resource period should be supported.</w:t>
        </w:r>
      </w:hyperlink>
    </w:p>
    <w:p w14:paraId="12B65C1D" w14:textId="77777777" w:rsidR="00F12DF4" w:rsidRDefault="00FA09A1">
      <w:pPr>
        <w:pStyle w:val="TOC1"/>
        <w:tabs>
          <w:tab w:val="left" w:pos="1320"/>
          <w:tab w:val="right" w:leader="dot" w:pos="9650"/>
        </w:tabs>
        <w:rPr>
          <w:rFonts w:asciiTheme="minorHAnsi" w:hAnsiTheme="minorHAnsi" w:cstheme="minorBidi"/>
          <w:b w:val="0"/>
          <w:i w:val="0"/>
          <w:noProof/>
          <w:kern w:val="0"/>
          <w:sz w:val="22"/>
          <w:szCs w:val="22"/>
        </w:rPr>
      </w:pPr>
      <w:hyperlink w:anchor="_Toc7474993" w:history="1">
        <w:r w:rsidR="00F12DF4" w:rsidRPr="00F209CA">
          <w:rPr>
            <w:rStyle w:val="Hyperlink"/>
            <w:rFonts w:eastAsia="SimSun"/>
            <w:noProof/>
          </w:rPr>
          <w:t>Proposal 4:</w:t>
        </w:r>
        <w:r w:rsidR="00F12DF4">
          <w:rPr>
            <w:rFonts w:asciiTheme="minorHAnsi" w:hAnsiTheme="minorHAnsi" w:cstheme="minorBidi"/>
            <w:b w:val="0"/>
            <w:i w:val="0"/>
            <w:noProof/>
            <w:kern w:val="0"/>
            <w:sz w:val="22"/>
            <w:szCs w:val="22"/>
          </w:rPr>
          <w:tab/>
        </w:r>
        <w:r w:rsidR="00F12DF4" w:rsidRPr="00F209CA">
          <w:rPr>
            <w:rStyle w:val="Hyperlink"/>
            <w:rFonts w:eastAsia="SimSun"/>
            <w:noProof/>
          </w:rPr>
          <w:t xml:space="preserve">PSBCH should carry at least </w:t>
        </w:r>
        <w:r w:rsidR="00F12DF4" w:rsidRPr="00F209CA">
          <w:rPr>
            <w:rStyle w:val="Hyperlink"/>
            <w:noProof/>
          </w:rPr>
          <w:t>SFN/DFN, S-SSB index and direct synchronization indicator.</w:t>
        </w:r>
      </w:hyperlink>
    </w:p>
    <w:p w14:paraId="78F88918" w14:textId="77777777" w:rsidR="00F12DF4" w:rsidRDefault="00FA09A1">
      <w:pPr>
        <w:pStyle w:val="TOC1"/>
        <w:tabs>
          <w:tab w:val="left" w:pos="1320"/>
          <w:tab w:val="right" w:leader="dot" w:pos="9650"/>
        </w:tabs>
        <w:rPr>
          <w:rFonts w:asciiTheme="minorHAnsi" w:hAnsiTheme="minorHAnsi" w:cstheme="minorBidi"/>
          <w:b w:val="0"/>
          <w:i w:val="0"/>
          <w:noProof/>
          <w:kern w:val="0"/>
          <w:sz w:val="22"/>
          <w:szCs w:val="22"/>
        </w:rPr>
      </w:pPr>
      <w:hyperlink w:anchor="_Toc7474994" w:history="1">
        <w:r w:rsidR="00F12DF4" w:rsidRPr="00F209CA">
          <w:rPr>
            <w:rStyle w:val="Hyperlink"/>
            <w:rFonts w:eastAsia="SimSun"/>
            <w:noProof/>
          </w:rPr>
          <w:t>Proposal 5:</w:t>
        </w:r>
        <w:r w:rsidR="00F12DF4">
          <w:rPr>
            <w:rFonts w:asciiTheme="minorHAnsi" w:hAnsiTheme="minorHAnsi" w:cstheme="minorBidi"/>
            <w:b w:val="0"/>
            <w:i w:val="0"/>
            <w:noProof/>
            <w:kern w:val="0"/>
            <w:sz w:val="22"/>
            <w:szCs w:val="22"/>
          </w:rPr>
          <w:tab/>
        </w:r>
        <w:r w:rsidR="00F12DF4" w:rsidRPr="00F209CA">
          <w:rPr>
            <w:rStyle w:val="Hyperlink"/>
            <w:noProof/>
          </w:rPr>
          <w:t xml:space="preserve">For </w:t>
        </w:r>
        <w:r w:rsidR="00F12DF4" w:rsidRPr="00F209CA">
          <w:rPr>
            <w:rStyle w:val="Hyperlink"/>
            <w:rFonts w:eastAsia="SimSun"/>
            <w:noProof/>
          </w:rPr>
          <w:t xml:space="preserve">the in-coverage UEs, the mechanism of </w:t>
        </w:r>
        <w:r w:rsidR="00F12DF4" w:rsidRPr="00F209CA">
          <w:rPr>
            <w:rStyle w:val="Hyperlink"/>
            <w:noProof/>
          </w:rPr>
          <w:t>synchronization reference selection</w:t>
        </w:r>
        <w:r w:rsidR="00F12DF4" w:rsidRPr="00F209CA">
          <w:rPr>
            <w:rStyle w:val="Hyperlink"/>
            <w:rFonts w:eastAsia="SimSun"/>
            <w:noProof/>
          </w:rPr>
          <w:t xml:space="preserve"> in LTE V2X is reused for NR V2X.</w:t>
        </w:r>
      </w:hyperlink>
    </w:p>
    <w:p w14:paraId="71B05647" w14:textId="77777777" w:rsidR="00F12DF4" w:rsidRDefault="00FA09A1">
      <w:pPr>
        <w:pStyle w:val="TOC1"/>
        <w:tabs>
          <w:tab w:val="left" w:pos="1320"/>
          <w:tab w:val="right" w:leader="dot" w:pos="9650"/>
        </w:tabs>
        <w:rPr>
          <w:rFonts w:asciiTheme="minorHAnsi" w:hAnsiTheme="minorHAnsi" w:cstheme="minorBidi"/>
          <w:b w:val="0"/>
          <w:i w:val="0"/>
          <w:noProof/>
          <w:kern w:val="0"/>
          <w:sz w:val="22"/>
          <w:szCs w:val="22"/>
        </w:rPr>
      </w:pPr>
      <w:hyperlink w:anchor="_Toc7474995" w:history="1">
        <w:r w:rsidR="00F12DF4" w:rsidRPr="00F209CA">
          <w:rPr>
            <w:rStyle w:val="Hyperlink"/>
            <w:rFonts w:eastAsia="SimSun"/>
            <w:noProof/>
          </w:rPr>
          <w:t>Proposal 6:</w:t>
        </w:r>
        <w:r w:rsidR="00F12DF4">
          <w:rPr>
            <w:rFonts w:asciiTheme="minorHAnsi" w:hAnsiTheme="minorHAnsi" w:cstheme="minorBidi"/>
            <w:b w:val="0"/>
            <w:i w:val="0"/>
            <w:noProof/>
            <w:kern w:val="0"/>
            <w:sz w:val="22"/>
            <w:szCs w:val="22"/>
          </w:rPr>
          <w:tab/>
        </w:r>
        <w:r w:rsidR="00F12DF4" w:rsidRPr="00F209CA">
          <w:rPr>
            <w:rStyle w:val="Hyperlink"/>
            <w:noProof/>
          </w:rPr>
          <w:t xml:space="preserve">Confirm </w:t>
        </w:r>
        <w:r w:rsidR="00F12DF4" w:rsidRPr="00F209CA">
          <w:rPr>
            <w:rStyle w:val="Hyperlink"/>
            <w:rFonts w:eastAsia="SimSun"/>
            <w:noProof/>
          </w:rPr>
          <w:t>the WA in RAN1 #96 for the</w:t>
        </w:r>
        <w:r w:rsidR="00F12DF4" w:rsidRPr="00F209CA">
          <w:rPr>
            <w:rStyle w:val="Hyperlink"/>
            <w:noProof/>
          </w:rPr>
          <w:t xml:space="preserve"> synchronization reference selection for out-of-coverage UE.</w:t>
        </w:r>
      </w:hyperlink>
    </w:p>
    <w:p w14:paraId="14EAC5AD" w14:textId="77777777" w:rsidR="00F12DF4" w:rsidRDefault="00FA09A1">
      <w:pPr>
        <w:pStyle w:val="TOC1"/>
        <w:tabs>
          <w:tab w:val="left" w:pos="1320"/>
          <w:tab w:val="right" w:leader="dot" w:pos="9650"/>
        </w:tabs>
        <w:rPr>
          <w:rFonts w:asciiTheme="minorHAnsi" w:hAnsiTheme="minorHAnsi" w:cstheme="minorBidi"/>
          <w:b w:val="0"/>
          <w:i w:val="0"/>
          <w:noProof/>
          <w:kern w:val="0"/>
          <w:sz w:val="22"/>
          <w:szCs w:val="22"/>
        </w:rPr>
      </w:pPr>
      <w:hyperlink w:anchor="_Toc7474996" w:history="1">
        <w:r w:rsidR="00F12DF4" w:rsidRPr="00F209CA">
          <w:rPr>
            <w:rStyle w:val="Hyperlink"/>
            <w:rFonts w:eastAsia="SimSun"/>
            <w:noProof/>
          </w:rPr>
          <w:t>Proposal 7:</w:t>
        </w:r>
        <w:r w:rsidR="00F12DF4">
          <w:rPr>
            <w:rFonts w:asciiTheme="minorHAnsi" w:hAnsiTheme="minorHAnsi" w:cstheme="minorBidi"/>
            <w:b w:val="0"/>
            <w:i w:val="0"/>
            <w:noProof/>
            <w:kern w:val="0"/>
            <w:sz w:val="22"/>
            <w:szCs w:val="22"/>
          </w:rPr>
          <w:tab/>
        </w:r>
        <w:r w:rsidR="00F12DF4" w:rsidRPr="00F209CA">
          <w:rPr>
            <w:rStyle w:val="Hyperlink"/>
            <w:noProof/>
          </w:rPr>
          <w:t xml:space="preserve">When </w:t>
        </w:r>
        <w:r w:rsidR="00F12DF4" w:rsidRPr="00F209CA">
          <w:rPr>
            <w:rStyle w:val="Hyperlink"/>
            <w:rFonts w:eastAsia="SimSun"/>
            <w:noProof/>
          </w:rPr>
          <w:t>there are more than one synchronization references belonging to the same highest priority, the UE should select reference UE with the highest S-RSRP.</w:t>
        </w:r>
      </w:hyperlink>
    </w:p>
    <w:p w14:paraId="0DAE3646" w14:textId="77777777" w:rsidR="00F12DF4" w:rsidRDefault="00FA09A1">
      <w:pPr>
        <w:pStyle w:val="TOC1"/>
        <w:tabs>
          <w:tab w:val="left" w:pos="1320"/>
          <w:tab w:val="right" w:leader="dot" w:pos="9650"/>
        </w:tabs>
        <w:rPr>
          <w:rFonts w:asciiTheme="minorHAnsi" w:hAnsiTheme="minorHAnsi" w:cstheme="minorBidi"/>
          <w:b w:val="0"/>
          <w:i w:val="0"/>
          <w:noProof/>
          <w:kern w:val="0"/>
          <w:sz w:val="22"/>
          <w:szCs w:val="22"/>
        </w:rPr>
      </w:pPr>
      <w:hyperlink w:anchor="_Toc7474997" w:history="1">
        <w:r w:rsidR="00F12DF4" w:rsidRPr="00F209CA">
          <w:rPr>
            <w:rStyle w:val="Hyperlink"/>
            <w:rFonts w:eastAsia="SimSun"/>
            <w:noProof/>
          </w:rPr>
          <w:t>Proposal 8:</w:t>
        </w:r>
        <w:r w:rsidR="00F12DF4">
          <w:rPr>
            <w:rFonts w:asciiTheme="minorHAnsi" w:hAnsiTheme="minorHAnsi" w:cstheme="minorBidi"/>
            <w:b w:val="0"/>
            <w:i w:val="0"/>
            <w:noProof/>
            <w:kern w:val="0"/>
            <w:sz w:val="22"/>
            <w:szCs w:val="22"/>
          </w:rPr>
          <w:tab/>
        </w:r>
        <w:r w:rsidR="00F12DF4" w:rsidRPr="00F209CA">
          <w:rPr>
            <w:rStyle w:val="Hyperlink"/>
            <w:rFonts w:eastAsia="SimSun"/>
            <w:noProof/>
          </w:rPr>
          <w:t xml:space="preserve">The SLSS </w:t>
        </w:r>
        <w:r w:rsidR="00F12DF4" w:rsidRPr="00F209CA">
          <w:rPr>
            <w:rStyle w:val="Hyperlink"/>
            <w:noProof/>
          </w:rPr>
          <w:t>transmission</w:t>
        </w:r>
        <w:r w:rsidR="00F12DF4" w:rsidRPr="00F209CA">
          <w:rPr>
            <w:rStyle w:val="Hyperlink"/>
            <w:rFonts w:eastAsia="SimSun"/>
            <w:noProof/>
          </w:rPr>
          <w:t xml:space="preserve">/reception in LTE V2X should be taken as starting point for NR V2X, with exception that </w:t>
        </w:r>
        <w:r w:rsidR="00F12DF4" w:rsidRPr="00F209CA">
          <w:rPr>
            <w:rStyle w:val="Hyperlink"/>
            <w:noProof/>
          </w:rPr>
          <w:t>the UE synchronizing to gNB/eNB should transmit S-SSB regardless of the received signal strength with the serving/reference cell.</w:t>
        </w:r>
      </w:hyperlink>
    </w:p>
    <w:p w14:paraId="6F64C649" w14:textId="77777777" w:rsidR="00F12DF4" w:rsidRDefault="00FA09A1">
      <w:pPr>
        <w:pStyle w:val="TOC1"/>
        <w:tabs>
          <w:tab w:val="left" w:pos="1320"/>
          <w:tab w:val="right" w:leader="dot" w:pos="9650"/>
        </w:tabs>
        <w:rPr>
          <w:rFonts w:asciiTheme="minorHAnsi" w:hAnsiTheme="minorHAnsi" w:cstheme="minorBidi"/>
          <w:b w:val="0"/>
          <w:i w:val="0"/>
          <w:noProof/>
          <w:kern w:val="0"/>
          <w:sz w:val="22"/>
          <w:szCs w:val="22"/>
        </w:rPr>
      </w:pPr>
      <w:hyperlink w:anchor="_Toc7474998" w:history="1">
        <w:r w:rsidR="00F12DF4" w:rsidRPr="00F209CA">
          <w:rPr>
            <w:rStyle w:val="Hyperlink"/>
            <w:rFonts w:eastAsia="SimSun"/>
            <w:noProof/>
          </w:rPr>
          <w:t>Proposal 9:</w:t>
        </w:r>
        <w:r w:rsidR="00F12DF4">
          <w:rPr>
            <w:rFonts w:asciiTheme="minorHAnsi" w:hAnsiTheme="minorHAnsi" w:cstheme="minorBidi"/>
            <w:b w:val="0"/>
            <w:i w:val="0"/>
            <w:noProof/>
            <w:kern w:val="0"/>
            <w:sz w:val="22"/>
            <w:szCs w:val="22"/>
          </w:rPr>
          <w:tab/>
        </w:r>
        <w:r w:rsidR="00F12DF4" w:rsidRPr="00F209CA">
          <w:rPr>
            <w:rStyle w:val="Hyperlink"/>
            <w:rFonts w:eastAsia="SimSun"/>
            <w:noProof/>
          </w:rPr>
          <w:t>NR V2X UE should have the capability of S-SSB transmission.</w:t>
        </w:r>
      </w:hyperlink>
    </w:p>
    <w:p w14:paraId="3A29C9D4" w14:textId="77777777" w:rsidR="000C20FD" w:rsidRDefault="00866A90">
      <w:pPr>
        <w:pStyle w:val="TOC1"/>
        <w:tabs>
          <w:tab w:val="right" w:leader="dot" w:pos="9660"/>
        </w:tabs>
        <w:adjustRightInd w:val="0"/>
        <w:snapToGrid w:val="0"/>
        <w:spacing w:afterLines="50" w:after="120" w:line="22" w:lineRule="atLeast"/>
      </w:pPr>
      <w:r>
        <w:fldChar w:fldCharType="end"/>
      </w:r>
    </w:p>
    <w:p w14:paraId="7030A81F" w14:textId="77777777" w:rsidR="000C20FD" w:rsidRDefault="00866A90">
      <w:pPr>
        <w:pStyle w:val="Heading1"/>
        <w:adjustRightInd w:val="0"/>
        <w:snapToGrid w:val="0"/>
        <w:spacing w:afterLines="50" w:after="120" w:line="260" w:lineRule="auto"/>
        <w:ind w:left="0"/>
        <w:rPr>
          <w:rFonts w:eastAsia="SimSun"/>
        </w:rPr>
      </w:pPr>
      <w:r>
        <w:rPr>
          <w:rFonts w:hint="eastAsia"/>
          <w:szCs w:val="22"/>
        </w:rPr>
        <w:t>References</w:t>
      </w:r>
    </w:p>
    <w:p w14:paraId="15AEB2DD" w14:textId="77777777" w:rsidR="000C20FD" w:rsidRDefault="00866A90">
      <w:pPr>
        <w:pStyle w:val="References"/>
        <w:adjustRightInd w:val="0"/>
        <w:snapToGrid w:val="0"/>
        <w:spacing w:after="10" w:line="260" w:lineRule="auto"/>
        <w:ind w:left="363" w:hanging="363"/>
        <w:rPr>
          <w:sz w:val="20"/>
          <w:szCs w:val="20"/>
        </w:rPr>
      </w:pPr>
      <w:bookmarkStart w:id="22" w:name="_Ref17466"/>
      <w:r>
        <w:rPr>
          <w:sz w:val="20"/>
          <w:szCs w:val="20"/>
          <w:lang w:eastAsia="ja-JP"/>
        </w:rPr>
        <w:t>Chairman's Notes RAN1 9</w:t>
      </w:r>
      <w:r>
        <w:rPr>
          <w:sz w:val="20"/>
          <w:szCs w:val="20"/>
        </w:rPr>
        <w:t xml:space="preserve">6bis, </w:t>
      </w:r>
      <w:r>
        <w:rPr>
          <w:sz w:val="20"/>
          <w:szCs w:val="20"/>
          <w:lang w:eastAsia="ja-JP"/>
        </w:rPr>
        <w:t>Xi’an, China, 8</w:t>
      </w:r>
      <w:r>
        <w:rPr>
          <w:sz w:val="20"/>
          <w:szCs w:val="20"/>
          <w:vertAlign w:val="superscript"/>
          <w:lang w:eastAsia="ja-JP"/>
        </w:rPr>
        <w:t>th</w:t>
      </w:r>
      <w:r>
        <w:rPr>
          <w:sz w:val="20"/>
          <w:szCs w:val="20"/>
          <w:lang w:eastAsia="ja-JP"/>
        </w:rPr>
        <w:t xml:space="preserve"> </w:t>
      </w:r>
      <w:r>
        <w:rPr>
          <w:sz w:val="20"/>
          <w:szCs w:val="20"/>
        </w:rPr>
        <w:t>-</w:t>
      </w:r>
      <w:r>
        <w:rPr>
          <w:sz w:val="20"/>
          <w:szCs w:val="20"/>
          <w:lang w:eastAsia="ja-JP"/>
        </w:rPr>
        <w:t xml:space="preserve"> 12</w:t>
      </w:r>
      <w:r>
        <w:rPr>
          <w:sz w:val="20"/>
          <w:szCs w:val="20"/>
          <w:vertAlign w:val="superscript"/>
          <w:lang w:eastAsia="ja-JP"/>
        </w:rPr>
        <w:t>th</w:t>
      </w:r>
      <w:r>
        <w:rPr>
          <w:sz w:val="20"/>
          <w:szCs w:val="20"/>
          <w:lang w:eastAsia="ja-JP"/>
        </w:rPr>
        <w:t xml:space="preserve"> April, 2019</w:t>
      </w:r>
      <w:r>
        <w:rPr>
          <w:sz w:val="20"/>
          <w:szCs w:val="20"/>
        </w:rPr>
        <w:t>.</w:t>
      </w:r>
    </w:p>
    <w:bookmarkEnd w:id="22"/>
    <w:p w14:paraId="6A1076AA" w14:textId="77777777" w:rsidR="000C20FD" w:rsidRDefault="00866A90">
      <w:pPr>
        <w:pStyle w:val="References"/>
        <w:adjustRightInd w:val="0"/>
        <w:snapToGrid w:val="0"/>
        <w:spacing w:after="10" w:line="260" w:lineRule="auto"/>
        <w:ind w:left="363" w:hanging="363"/>
        <w:rPr>
          <w:sz w:val="20"/>
          <w:szCs w:val="20"/>
        </w:rPr>
      </w:pPr>
      <w:r>
        <w:rPr>
          <w:sz w:val="20"/>
          <w:szCs w:val="20"/>
          <w:lang w:eastAsia="ja-JP"/>
        </w:rPr>
        <w:t>Chairman's Notes RAN1 9</w:t>
      </w:r>
      <w:r>
        <w:rPr>
          <w:sz w:val="20"/>
          <w:szCs w:val="20"/>
        </w:rPr>
        <w:t xml:space="preserve">6, </w:t>
      </w:r>
      <w:r>
        <w:rPr>
          <w:sz w:val="20"/>
          <w:szCs w:val="20"/>
          <w:lang w:eastAsia="ja-JP"/>
        </w:rPr>
        <w:t>Athens, Greece, February 25th – March 1st, 2019</w:t>
      </w:r>
      <w:r>
        <w:rPr>
          <w:sz w:val="20"/>
          <w:szCs w:val="20"/>
        </w:rPr>
        <w:t>.</w:t>
      </w:r>
    </w:p>
    <w:p w14:paraId="14A5424F" w14:textId="77777777" w:rsidR="00DC206E" w:rsidRPr="00CE2A1E" w:rsidRDefault="00DC206E" w:rsidP="00CE2A1E">
      <w:pPr>
        <w:pStyle w:val="References"/>
        <w:adjustRightInd w:val="0"/>
        <w:snapToGrid w:val="0"/>
        <w:spacing w:after="10" w:line="260" w:lineRule="auto"/>
        <w:ind w:left="363" w:hanging="363"/>
        <w:rPr>
          <w:sz w:val="20"/>
          <w:szCs w:val="20"/>
        </w:rPr>
      </w:pPr>
      <w:bookmarkStart w:id="23" w:name="_Ref7461547"/>
      <w:r w:rsidRPr="00CE2A1E">
        <w:rPr>
          <w:sz w:val="20"/>
          <w:szCs w:val="20"/>
        </w:rPr>
        <w:t>R1-19</w:t>
      </w:r>
      <w:r w:rsidR="00CE2A1E" w:rsidRPr="00CE2A1E">
        <w:rPr>
          <w:bCs/>
          <w:sz w:val="20"/>
          <w:szCs w:val="20"/>
        </w:rPr>
        <w:t>06465</w:t>
      </w:r>
      <w:r w:rsidRPr="00CE2A1E">
        <w:rPr>
          <w:sz w:val="20"/>
          <w:szCs w:val="20"/>
        </w:rPr>
        <w:t xml:space="preserve">, </w:t>
      </w:r>
      <w:r w:rsidR="00CE2A1E" w:rsidRPr="00CE2A1E">
        <w:rPr>
          <w:sz w:val="20"/>
          <w:szCs w:val="20"/>
        </w:rPr>
        <w:t>Evaluation on DMRS patterns for PSBCH</w:t>
      </w:r>
      <w:r w:rsidR="00CE2A1E">
        <w:rPr>
          <w:sz w:val="20"/>
          <w:szCs w:val="20"/>
        </w:rPr>
        <w:t>, ZTE, Sanechips</w:t>
      </w:r>
      <w:bookmarkEnd w:id="23"/>
    </w:p>
    <w:p w14:paraId="22ED8F6B" w14:textId="1EEF10A3" w:rsidR="00CC0C32" w:rsidRDefault="00CC0C32">
      <w:pPr>
        <w:jc w:val="left"/>
      </w:pPr>
      <w:r>
        <w:br w:type="page"/>
      </w:r>
    </w:p>
    <w:p w14:paraId="545DF543" w14:textId="77777777" w:rsidR="000C20FD" w:rsidRDefault="000C20FD">
      <w:pPr>
        <w:jc w:val="left"/>
      </w:pPr>
    </w:p>
    <w:p w14:paraId="0EA3B0A0" w14:textId="77777777" w:rsidR="000C20FD" w:rsidRDefault="00866A90">
      <w:pPr>
        <w:pStyle w:val="Heading1"/>
        <w:adjustRightInd w:val="0"/>
        <w:snapToGrid w:val="0"/>
        <w:spacing w:afterLines="50" w:after="120" w:line="260" w:lineRule="auto"/>
        <w:ind w:left="0"/>
        <w:rPr>
          <w:rFonts w:eastAsia="SimSun"/>
        </w:rPr>
      </w:pPr>
      <w:r>
        <w:rPr>
          <w:rFonts w:eastAsia="SimSun" w:hint="eastAsia"/>
          <w:szCs w:val="22"/>
        </w:rPr>
        <w:t>Appendix</w:t>
      </w:r>
      <w:r>
        <w:rPr>
          <w:rFonts w:hint="eastAsia"/>
        </w:rPr>
        <w:t xml:space="preserve">: </w:t>
      </w:r>
      <w:r>
        <w:rPr>
          <w:rFonts w:hint="eastAsia"/>
          <w:szCs w:val="22"/>
        </w:rPr>
        <w:t xml:space="preserve">Simulation </w:t>
      </w:r>
      <w:r>
        <w:rPr>
          <w:rFonts w:hint="eastAsia"/>
        </w:rPr>
        <w:t>assumptions</w:t>
      </w:r>
    </w:p>
    <w:p w14:paraId="38BB98CE" w14:textId="77777777" w:rsidR="000C20FD" w:rsidRDefault="000C20FD">
      <w:pPr>
        <w:jc w:val="left"/>
      </w:pPr>
    </w:p>
    <w:tbl>
      <w:tblPr>
        <w:tblStyle w:val="TableGrid"/>
        <w:tblW w:w="0" w:type="auto"/>
        <w:jc w:val="center"/>
        <w:tblLayout w:type="fixed"/>
        <w:tblLook w:val="04A0" w:firstRow="1" w:lastRow="0" w:firstColumn="1" w:lastColumn="0" w:noHBand="0" w:noVBand="1"/>
      </w:tblPr>
      <w:tblGrid>
        <w:gridCol w:w="2920"/>
        <w:gridCol w:w="4532"/>
      </w:tblGrid>
      <w:tr w:rsidR="000C20FD" w14:paraId="4FD192A1" w14:textId="77777777" w:rsidTr="005F7C07">
        <w:trPr>
          <w:jc w:val="center"/>
        </w:trPr>
        <w:tc>
          <w:tcPr>
            <w:tcW w:w="2920" w:type="dxa"/>
            <w:shd w:val="clear" w:color="auto" w:fill="D8D8D8" w:themeFill="background1" w:themeFillShade="D8"/>
            <w:vAlign w:val="center"/>
          </w:tcPr>
          <w:p w14:paraId="0FE1F6E6" w14:textId="77777777" w:rsidR="000C20FD" w:rsidRDefault="00866A90" w:rsidP="005F7C07">
            <w:pPr>
              <w:spacing w:before="60" w:after="60"/>
              <w:jc w:val="center"/>
            </w:pPr>
            <w:r>
              <w:rPr>
                <w:rFonts w:hint="eastAsia"/>
              </w:rPr>
              <w:t>Parameter</w:t>
            </w:r>
          </w:p>
        </w:tc>
        <w:tc>
          <w:tcPr>
            <w:tcW w:w="4532" w:type="dxa"/>
            <w:shd w:val="clear" w:color="auto" w:fill="D8D8D8" w:themeFill="background1" w:themeFillShade="D8"/>
            <w:vAlign w:val="center"/>
          </w:tcPr>
          <w:p w14:paraId="6AC983C8" w14:textId="77777777" w:rsidR="000C20FD" w:rsidRDefault="00866A90" w:rsidP="005F7C07">
            <w:pPr>
              <w:spacing w:before="60" w:after="60"/>
              <w:jc w:val="center"/>
            </w:pPr>
            <w:r>
              <w:rPr>
                <w:rFonts w:hint="eastAsia"/>
              </w:rPr>
              <w:t>Value</w:t>
            </w:r>
          </w:p>
        </w:tc>
      </w:tr>
      <w:tr w:rsidR="000C20FD" w14:paraId="7A048265" w14:textId="77777777" w:rsidTr="005F7C07">
        <w:trPr>
          <w:jc w:val="center"/>
        </w:trPr>
        <w:tc>
          <w:tcPr>
            <w:tcW w:w="2920" w:type="dxa"/>
            <w:vAlign w:val="center"/>
          </w:tcPr>
          <w:p w14:paraId="35F317CF" w14:textId="77777777" w:rsidR="000C20FD" w:rsidRDefault="00866A90" w:rsidP="005F7C07">
            <w:pPr>
              <w:spacing w:before="60" w:after="60"/>
              <w:jc w:val="center"/>
            </w:pPr>
            <w:r>
              <w:rPr>
                <w:sz w:val="20"/>
              </w:rPr>
              <w:t>Carrier frequency</w:t>
            </w:r>
          </w:p>
        </w:tc>
        <w:tc>
          <w:tcPr>
            <w:tcW w:w="4532" w:type="dxa"/>
            <w:vAlign w:val="center"/>
          </w:tcPr>
          <w:p w14:paraId="49E53A90" w14:textId="77777777" w:rsidR="000C20FD" w:rsidRDefault="00866A90" w:rsidP="005F7C07">
            <w:pPr>
              <w:spacing w:before="60" w:after="60"/>
              <w:jc w:val="center"/>
            </w:pPr>
            <w:r>
              <w:rPr>
                <w:sz w:val="20"/>
              </w:rPr>
              <w:t>6 GHz</w:t>
            </w:r>
          </w:p>
        </w:tc>
      </w:tr>
      <w:tr w:rsidR="000C20FD" w14:paraId="13789A73" w14:textId="77777777" w:rsidTr="005F7C07">
        <w:trPr>
          <w:jc w:val="center"/>
        </w:trPr>
        <w:tc>
          <w:tcPr>
            <w:tcW w:w="2920" w:type="dxa"/>
            <w:vAlign w:val="center"/>
          </w:tcPr>
          <w:p w14:paraId="1A0B65F6" w14:textId="77777777" w:rsidR="000C20FD" w:rsidRDefault="00866A90" w:rsidP="005F7C07">
            <w:pPr>
              <w:spacing w:before="60" w:after="60"/>
              <w:jc w:val="center"/>
            </w:pPr>
            <w:r>
              <w:rPr>
                <w:sz w:val="20"/>
              </w:rPr>
              <w:t>Bandwidth</w:t>
            </w:r>
          </w:p>
        </w:tc>
        <w:tc>
          <w:tcPr>
            <w:tcW w:w="4532" w:type="dxa"/>
            <w:vAlign w:val="center"/>
          </w:tcPr>
          <w:p w14:paraId="42535F37" w14:textId="77777777" w:rsidR="000C20FD" w:rsidRDefault="00866A90" w:rsidP="005F7C07">
            <w:pPr>
              <w:spacing w:before="60" w:after="60"/>
              <w:jc w:val="center"/>
            </w:pPr>
            <w:r>
              <w:rPr>
                <w:rFonts w:hint="eastAsia"/>
                <w:sz w:val="20"/>
              </w:rPr>
              <w:t>11</w:t>
            </w:r>
            <w:r>
              <w:rPr>
                <w:sz w:val="20"/>
              </w:rPr>
              <w:t xml:space="preserve"> </w:t>
            </w:r>
            <w:r>
              <w:rPr>
                <w:rFonts w:hint="eastAsia"/>
                <w:sz w:val="20"/>
              </w:rPr>
              <w:t>RB</w:t>
            </w:r>
          </w:p>
        </w:tc>
      </w:tr>
      <w:tr w:rsidR="000C20FD" w14:paraId="5314C0B0" w14:textId="77777777" w:rsidTr="005F7C07">
        <w:trPr>
          <w:jc w:val="center"/>
        </w:trPr>
        <w:tc>
          <w:tcPr>
            <w:tcW w:w="2920" w:type="dxa"/>
            <w:vAlign w:val="center"/>
          </w:tcPr>
          <w:p w14:paraId="14C9DC9C" w14:textId="77777777" w:rsidR="000C20FD" w:rsidRDefault="00866A90" w:rsidP="005F7C07">
            <w:pPr>
              <w:spacing w:before="60" w:after="60"/>
              <w:jc w:val="center"/>
            </w:pPr>
            <w:r>
              <w:rPr>
                <w:sz w:val="20"/>
              </w:rPr>
              <w:t>Channel</w:t>
            </w:r>
          </w:p>
        </w:tc>
        <w:tc>
          <w:tcPr>
            <w:tcW w:w="4532" w:type="dxa"/>
            <w:vAlign w:val="center"/>
          </w:tcPr>
          <w:p w14:paraId="1F21144E" w14:textId="77777777" w:rsidR="000C20FD" w:rsidRDefault="00866A90" w:rsidP="005F7C07">
            <w:pPr>
              <w:spacing w:before="60" w:after="60"/>
              <w:jc w:val="center"/>
            </w:pPr>
            <w:r>
              <w:rPr>
                <w:sz w:val="20"/>
              </w:rPr>
              <w:t>urban-NLOS</w:t>
            </w:r>
          </w:p>
        </w:tc>
      </w:tr>
      <w:tr w:rsidR="000C20FD" w14:paraId="701705FA" w14:textId="77777777" w:rsidTr="005F7C07">
        <w:trPr>
          <w:jc w:val="center"/>
        </w:trPr>
        <w:tc>
          <w:tcPr>
            <w:tcW w:w="2920" w:type="dxa"/>
            <w:vAlign w:val="center"/>
          </w:tcPr>
          <w:p w14:paraId="5E30FD4C" w14:textId="77777777" w:rsidR="000C20FD" w:rsidRDefault="00866A90" w:rsidP="005F7C07">
            <w:pPr>
              <w:spacing w:before="60" w:after="60"/>
              <w:jc w:val="center"/>
            </w:pPr>
            <w:r>
              <w:rPr>
                <w:sz w:val="20"/>
              </w:rPr>
              <w:t>MCS</w:t>
            </w:r>
          </w:p>
        </w:tc>
        <w:tc>
          <w:tcPr>
            <w:tcW w:w="4532" w:type="dxa"/>
            <w:vAlign w:val="center"/>
          </w:tcPr>
          <w:p w14:paraId="187232E4" w14:textId="77777777" w:rsidR="000C20FD" w:rsidRDefault="00866A90" w:rsidP="005F7C07">
            <w:pPr>
              <w:spacing w:before="60" w:after="60"/>
              <w:jc w:val="center"/>
            </w:pPr>
            <w:r>
              <w:rPr>
                <w:rFonts w:hint="eastAsia"/>
                <w:sz w:val="20"/>
              </w:rPr>
              <w:t>QPSK</w:t>
            </w:r>
          </w:p>
        </w:tc>
      </w:tr>
      <w:tr w:rsidR="000C20FD" w14:paraId="1F2C7EB6" w14:textId="77777777" w:rsidTr="005F7C07">
        <w:trPr>
          <w:jc w:val="center"/>
        </w:trPr>
        <w:tc>
          <w:tcPr>
            <w:tcW w:w="2920" w:type="dxa"/>
            <w:vAlign w:val="center"/>
          </w:tcPr>
          <w:p w14:paraId="3E4D4E04" w14:textId="77777777" w:rsidR="000C20FD" w:rsidRDefault="00866A90" w:rsidP="005F7C07">
            <w:pPr>
              <w:spacing w:before="60" w:after="60"/>
              <w:jc w:val="center"/>
            </w:pPr>
            <w:r>
              <w:rPr>
                <w:rFonts w:hint="eastAsia"/>
                <w:sz w:val="20"/>
              </w:rPr>
              <w:t>Channel coding</w:t>
            </w:r>
          </w:p>
        </w:tc>
        <w:tc>
          <w:tcPr>
            <w:tcW w:w="4532" w:type="dxa"/>
            <w:vAlign w:val="center"/>
          </w:tcPr>
          <w:p w14:paraId="36B6D595" w14:textId="77777777" w:rsidR="000C20FD" w:rsidRDefault="00866A90" w:rsidP="005F7C07">
            <w:pPr>
              <w:spacing w:before="60" w:after="60"/>
              <w:jc w:val="center"/>
            </w:pPr>
            <w:r>
              <w:rPr>
                <w:rFonts w:hint="eastAsia"/>
                <w:sz w:val="20"/>
              </w:rPr>
              <w:t>Polar</w:t>
            </w:r>
          </w:p>
        </w:tc>
      </w:tr>
      <w:tr w:rsidR="000C20FD" w14:paraId="6C75CA71" w14:textId="77777777" w:rsidTr="005F7C07">
        <w:trPr>
          <w:jc w:val="center"/>
        </w:trPr>
        <w:tc>
          <w:tcPr>
            <w:tcW w:w="2920" w:type="dxa"/>
            <w:vAlign w:val="center"/>
          </w:tcPr>
          <w:p w14:paraId="0905CDD5" w14:textId="77777777" w:rsidR="000C20FD" w:rsidRDefault="00866A90" w:rsidP="005F7C07">
            <w:pPr>
              <w:spacing w:before="60" w:after="60"/>
              <w:jc w:val="center"/>
            </w:pPr>
            <w:r>
              <w:rPr>
                <w:sz w:val="20"/>
              </w:rPr>
              <w:t>Subcarrier Spacing</w:t>
            </w:r>
          </w:p>
        </w:tc>
        <w:tc>
          <w:tcPr>
            <w:tcW w:w="4532" w:type="dxa"/>
            <w:vAlign w:val="center"/>
          </w:tcPr>
          <w:p w14:paraId="3EB62352" w14:textId="77777777" w:rsidR="000C20FD" w:rsidRDefault="00866A90" w:rsidP="005F7C07">
            <w:pPr>
              <w:spacing w:before="60" w:after="60"/>
              <w:jc w:val="center"/>
            </w:pPr>
            <w:r>
              <w:rPr>
                <w:rFonts w:hint="eastAsia"/>
                <w:sz w:val="20"/>
              </w:rPr>
              <w:t>15k</w:t>
            </w:r>
            <w:r w:rsidR="00F64174">
              <w:rPr>
                <w:sz w:val="20"/>
              </w:rPr>
              <w:t>Hz</w:t>
            </w:r>
          </w:p>
        </w:tc>
      </w:tr>
      <w:tr w:rsidR="000C20FD" w14:paraId="7D9D5CC3" w14:textId="77777777" w:rsidTr="005F7C07">
        <w:trPr>
          <w:jc w:val="center"/>
        </w:trPr>
        <w:tc>
          <w:tcPr>
            <w:tcW w:w="2920" w:type="dxa"/>
            <w:vAlign w:val="center"/>
          </w:tcPr>
          <w:p w14:paraId="7DE44017" w14:textId="77777777" w:rsidR="000C20FD" w:rsidRDefault="00866A90" w:rsidP="005F7C07">
            <w:pPr>
              <w:spacing w:before="60" w:after="60"/>
              <w:jc w:val="center"/>
            </w:pPr>
            <w:r>
              <w:rPr>
                <w:sz w:val="20"/>
              </w:rPr>
              <w:t>Antenna configuration</w:t>
            </w:r>
          </w:p>
        </w:tc>
        <w:tc>
          <w:tcPr>
            <w:tcW w:w="4532" w:type="dxa"/>
            <w:vAlign w:val="center"/>
          </w:tcPr>
          <w:p w14:paraId="387BBA0D" w14:textId="77777777" w:rsidR="000C20FD" w:rsidRDefault="00866A90" w:rsidP="005F7C07">
            <w:pPr>
              <w:spacing w:before="60" w:after="60"/>
              <w:jc w:val="center"/>
            </w:pPr>
            <w:r>
              <w:rPr>
                <w:sz w:val="20"/>
              </w:rPr>
              <w:t>2T</w:t>
            </w:r>
            <w:r>
              <w:rPr>
                <w:rFonts w:hint="eastAsia"/>
                <w:sz w:val="20"/>
              </w:rPr>
              <w:t>*2</w:t>
            </w:r>
            <w:r>
              <w:rPr>
                <w:sz w:val="20"/>
              </w:rPr>
              <w:t>R</w:t>
            </w:r>
          </w:p>
        </w:tc>
      </w:tr>
      <w:tr w:rsidR="000C20FD" w14:paraId="1DAECF4A" w14:textId="77777777" w:rsidTr="005F7C07">
        <w:trPr>
          <w:jc w:val="center"/>
        </w:trPr>
        <w:tc>
          <w:tcPr>
            <w:tcW w:w="2920" w:type="dxa"/>
            <w:vAlign w:val="center"/>
          </w:tcPr>
          <w:p w14:paraId="18FC8F17" w14:textId="4DC33F51" w:rsidR="000C20FD" w:rsidRDefault="00CC34E6" w:rsidP="005F7C07">
            <w:pPr>
              <w:spacing w:before="60" w:after="60"/>
              <w:jc w:val="center"/>
            </w:pPr>
            <w:r>
              <w:t xml:space="preserve">UE (relative) </w:t>
            </w:r>
            <w:r w:rsidR="00866A90">
              <w:rPr>
                <w:rFonts w:hint="eastAsia"/>
                <w:sz w:val="20"/>
              </w:rPr>
              <w:t>speed</w:t>
            </w:r>
          </w:p>
        </w:tc>
        <w:tc>
          <w:tcPr>
            <w:tcW w:w="4532" w:type="dxa"/>
            <w:vAlign w:val="center"/>
          </w:tcPr>
          <w:p w14:paraId="2C0A2EB6" w14:textId="77777777" w:rsidR="000C20FD" w:rsidRDefault="00866A90" w:rsidP="005F7C07">
            <w:pPr>
              <w:spacing w:before="60" w:after="60"/>
              <w:jc w:val="center"/>
            </w:pPr>
            <w:r>
              <w:rPr>
                <w:rFonts w:hint="eastAsia"/>
                <w:sz w:val="20"/>
              </w:rPr>
              <w:t>240/500</w:t>
            </w:r>
            <w:r>
              <w:rPr>
                <w:sz w:val="20"/>
              </w:rPr>
              <w:t xml:space="preserve"> </w:t>
            </w:r>
            <w:r>
              <w:rPr>
                <w:rFonts w:hint="eastAsia"/>
                <w:sz w:val="20"/>
              </w:rPr>
              <w:t>km/h</w:t>
            </w:r>
          </w:p>
        </w:tc>
      </w:tr>
      <w:tr w:rsidR="000C20FD" w14:paraId="3125EF57" w14:textId="77777777" w:rsidTr="005F7C07">
        <w:trPr>
          <w:jc w:val="center"/>
        </w:trPr>
        <w:tc>
          <w:tcPr>
            <w:tcW w:w="2920" w:type="dxa"/>
            <w:vAlign w:val="center"/>
          </w:tcPr>
          <w:p w14:paraId="5653152F" w14:textId="77777777" w:rsidR="000C20FD" w:rsidRDefault="00866A90" w:rsidP="005F7C07">
            <w:pPr>
              <w:spacing w:before="60" w:after="60"/>
              <w:jc w:val="center"/>
              <w:rPr>
                <w:sz w:val="20"/>
              </w:rPr>
            </w:pPr>
            <w:r>
              <w:rPr>
                <w:rFonts w:hint="eastAsia"/>
                <w:sz w:val="20"/>
              </w:rPr>
              <w:t>SNR range</w:t>
            </w:r>
          </w:p>
        </w:tc>
        <w:tc>
          <w:tcPr>
            <w:tcW w:w="4532" w:type="dxa"/>
            <w:vAlign w:val="center"/>
          </w:tcPr>
          <w:p w14:paraId="4C609AF8" w14:textId="77777777" w:rsidR="000C20FD" w:rsidRDefault="00866A90" w:rsidP="005F7C07">
            <w:pPr>
              <w:spacing w:before="60" w:after="60"/>
              <w:jc w:val="center"/>
              <w:rPr>
                <w:sz w:val="20"/>
              </w:rPr>
            </w:pPr>
            <w:r>
              <w:rPr>
                <w:rFonts w:hint="eastAsia"/>
                <w:sz w:val="20"/>
              </w:rPr>
              <w:t>&gt; -6 dB</w:t>
            </w:r>
          </w:p>
        </w:tc>
      </w:tr>
      <w:tr w:rsidR="000C20FD" w14:paraId="39CF2F6D" w14:textId="77777777" w:rsidTr="005F7C07">
        <w:trPr>
          <w:jc w:val="center"/>
        </w:trPr>
        <w:tc>
          <w:tcPr>
            <w:tcW w:w="2920" w:type="dxa"/>
            <w:vAlign w:val="center"/>
          </w:tcPr>
          <w:p w14:paraId="175BAEE1" w14:textId="77777777" w:rsidR="000C20FD" w:rsidRDefault="00866A90" w:rsidP="005F7C07">
            <w:pPr>
              <w:spacing w:before="60" w:after="60"/>
              <w:jc w:val="center"/>
              <w:rPr>
                <w:sz w:val="20"/>
              </w:rPr>
            </w:pPr>
            <w:r>
              <w:rPr>
                <w:rFonts w:hint="eastAsia"/>
                <w:sz w:val="20"/>
              </w:rPr>
              <w:t>Number of symbols for PSBCH</w:t>
            </w:r>
          </w:p>
        </w:tc>
        <w:tc>
          <w:tcPr>
            <w:tcW w:w="4532" w:type="dxa"/>
            <w:vAlign w:val="center"/>
          </w:tcPr>
          <w:p w14:paraId="3350B226" w14:textId="77777777" w:rsidR="000C20FD" w:rsidRDefault="00866A90" w:rsidP="005F7C07">
            <w:pPr>
              <w:spacing w:before="60" w:after="60"/>
              <w:jc w:val="center"/>
              <w:rPr>
                <w:sz w:val="20"/>
              </w:rPr>
            </w:pPr>
            <w:r>
              <w:rPr>
                <w:rFonts w:hint="eastAsia"/>
                <w:sz w:val="20"/>
              </w:rPr>
              <w:t>6</w:t>
            </w:r>
          </w:p>
        </w:tc>
      </w:tr>
      <w:tr w:rsidR="0080174D" w14:paraId="624687F0" w14:textId="77777777" w:rsidTr="005F7C07">
        <w:trPr>
          <w:jc w:val="center"/>
        </w:trPr>
        <w:tc>
          <w:tcPr>
            <w:tcW w:w="2920" w:type="dxa"/>
            <w:vAlign w:val="center"/>
          </w:tcPr>
          <w:p w14:paraId="3580253B" w14:textId="46D9DCDA" w:rsidR="0080174D" w:rsidRDefault="0080174D" w:rsidP="005F7C07">
            <w:pPr>
              <w:spacing w:before="60" w:after="60"/>
              <w:jc w:val="center"/>
              <w:rPr>
                <w:sz w:val="20"/>
              </w:rPr>
            </w:pPr>
            <w:r>
              <w:rPr>
                <w:sz w:val="20"/>
              </w:rPr>
              <w:t>PSBCH payload size</w:t>
            </w:r>
          </w:p>
        </w:tc>
        <w:tc>
          <w:tcPr>
            <w:tcW w:w="4532" w:type="dxa"/>
            <w:vAlign w:val="center"/>
          </w:tcPr>
          <w:p w14:paraId="102122F3" w14:textId="5793062B" w:rsidR="0080174D" w:rsidRDefault="0080174D" w:rsidP="005F7C07">
            <w:pPr>
              <w:spacing w:before="60" w:after="60"/>
              <w:jc w:val="center"/>
              <w:rPr>
                <w:sz w:val="20"/>
              </w:rPr>
            </w:pPr>
            <w:r>
              <w:rPr>
                <w:sz w:val="20"/>
              </w:rPr>
              <w:t>56 (including 24bits CRC)</w:t>
            </w:r>
          </w:p>
        </w:tc>
      </w:tr>
      <w:tr w:rsidR="008E07DF" w14:paraId="55D35970" w14:textId="77777777" w:rsidTr="005F7C07">
        <w:trPr>
          <w:jc w:val="center"/>
        </w:trPr>
        <w:tc>
          <w:tcPr>
            <w:tcW w:w="2920" w:type="dxa"/>
            <w:vAlign w:val="center"/>
          </w:tcPr>
          <w:p w14:paraId="27BF89A4" w14:textId="5B31380E" w:rsidR="008E07DF" w:rsidRDefault="008E07DF" w:rsidP="005F7C07">
            <w:pPr>
              <w:spacing w:before="60" w:after="60"/>
              <w:jc w:val="center"/>
              <w:rPr>
                <w:sz w:val="20"/>
              </w:rPr>
            </w:pPr>
            <w:r>
              <w:rPr>
                <w:sz w:val="20"/>
              </w:rPr>
              <w:t>Receiver handling of first symbol used for AGC</w:t>
            </w:r>
          </w:p>
        </w:tc>
        <w:tc>
          <w:tcPr>
            <w:tcW w:w="4532" w:type="dxa"/>
            <w:vAlign w:val="center"/>
          </w:tcPr>
          <w:p w14:paraId="7A1013C5" w14:textId="25297383" w:rsidR="008E07DF" w:rsidRDefault="008E07DF" w:rsidP="005F7C07">
            <w:pPr>
              <w:spacing w:before="60" w:after="60"/>
              <w:jc w:val="center"/>
              <w:rPr>
                <w:sz w:val="20"/>
              </w:rPr>
            </w:pPr>
            <w:r>
              <w:rPr>
                <w:sz w:val="20"/>
              </w:rPr>
              <w:t>In the 1</w:t>
            </w:r>
            <w:r w:rsidRPr="008E07DF">
              <w:rPr>
                <w:sz w:val="20"/>
                <w:vertAlign w:val="superscript"/>
              </w:rPr>
              <w:t>st</w:t>
            </w:r>
            <w:r>
              <w:rPr>
                <w:sz w:val="20"/>
              </w:rPr>
              <w:t xml:space="preserve"> symbol, DMRS REs are not used for channel estimation and data REs are punctured</w:t>
            </w:r>
          </w:p>
        </w:tc>
      </w:tr>
      <w:tr w:rsidR="00CC34E6" w14:paraId="2E458BB2" w14:textId="77777777" w:rsidTr="00B25233">
        <w:trPr>
          <w:jc w:val="center"/>
        </w:trPr>
        <w:tc>
          <w:tcPr>
            <w:tcW w:w="2920" w:type="dxa"/>
          </w:tcPr>
          <w:p w14:paraId="2FB46152" w14:textId="3199392F" w:rsidR="00CC34E6" w:rsidRDefault="00CC34E6" w:rsidP="00CC34E6">
            <w:pPr>
              <w:spacing w:before="60" w:after="60"/>
              <w:jc w:val="center"/>
              <w:rPr>
                <w:sz w:val="20"/>
              </w:rPr>
            </w:pPr>
            <w:r>
              <w:t>Channel estimation</w:t>
            </w:r>
          </w:p>
        </w:tc>
        <w:tc>
          <w:tcPr>
            <w:tcW w:w="4532" w:type="dxa"/>
          </w:tcPr>
          <w:p w14:paraId="36066460" w14:textId="5E3387C7" w:rsidR="00CC34E6" w:rsidRDefault="00CC34E6" w:rsidP="00CC34E6">
            <w:pPr>
              <w:spacing w:before="60" w:after="60"/>
              <w:jc w:val="center"/>
              <w:rPr>
                <w:sz w:val="20"/>
              </w:rPr>
            </w:pPr>
            <w:r>
              <w:t>MMSE</w:t>
            </w:r>
          </w:p>
        </w:tc>
      </w:tr>
    </w:tbl>
    <w:p w14:paraId="5C5B3759" w14:textId="77777777" w:rsidR="000C20FD" w:rsidRDefault="000C20FD">
      <w:pPr>
        <w:jc w:val="left"/>
      </w:pPr>
    </w:p>
    <w:p w14:paraId="32672780" w14:textId="77777777" w:rsidR="000C20FD" w:rsidRDefault="000C20FD">
      <w:pPr>
        <w:jc w:val="left"/>
      </w:pPr>
    </w:p>
    <w:p w14:paraId="3A632EFE" w14:textId="77777777" w:rsidR="000C20FD" w:rsidRDefault="000C20FD">
      <w:pPr>
        <w:jc w:val="left"/>
      </w:pPr>
    </w:p>
    <w:p w14:paraId="0A0EA9C8" w14:textId="77777777" w:rsidR="000C20FD" w:rsidRDefault="000C20FD">
      <w:pPr>
        <w:jc w:val="left"/>
      </w:pPr>
    </w:p>
    <w:sectPr w:rsidR="000C20FD">
      <w:footerReference w:type="default" r:id="rId2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2D689A" w14:textId="77777777" w:rsidR="00FA09A1" w:rsidRDefault="00FA09A1">
      <w:pPr>
        <w:spacing w:after="0" w:line="240" w:lineRule="auto"/>
      </w:pPr>
      <w:r>
        <w:separator/>
      </w:r>
    </w:p>
  </w:endnote>
  <w:endnote w:type="continuationSeparator" w:id="0">
    <w:p w14:paraId="4E4D97C5" w14:textId="77777777" w:rsidR="00FA09A1" w:rsidRDefault="00FA0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7581010"/>
      <w:docPartObj>
        <w:docPartGallery w:val="Page Numbers (Bottom of Page)"/>
        <w:docPartUnique/>
      </w:docPartObj>
    </w:sdtPr>
    <w:sdtEndPr>
      <w:rPr>
        <w:noProof/>
      </w:rPr>
    </w:sdtEndPr>
    <w:sdtContent>
      <w:p w14:paraId="1220E4AF" w14:textId="77777777" w:rsidR="002E7C7E" w:rsidRDefault="002E7C7E">
        <w:pPr>
          <w:pStyle w:val="Footer"/>
          <w:jc w:val="center"/>
        </w:pPr>
        <w:r>
          <w:fldChar w:fldCharType="begin"/>
        </w:r>
        <w:r>
          <w:instrText xml:space="preserve"> PAGE   \* MERGEFORMAT </w:instrText>
        </w:r>
        <w:r>
          <w:fldChar w:fldCharType="separate"/>
        </w:r>
        <w:r w:rsidR="00F97663">
          <w:rPr>
            <w:noProof/>
          </w:rPr>
          <w:t>1</w:t>
        </w:r>
        <w:r>
          <w:rPr>
            <w:noProof/>
          </w:rPr>
          <w:fldChar w:fldCharType="end"/>
        </w:r>
      </w:p>
    </w:sdtContent>
  </w:sdt>
  <w:p w14:paraId="12F1C64C" w14:textId="77777777" w:rsidR="000C20FD" w:rsidRDefault="000C20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942C1" w14:textId="77777777" w:rsidR="00FA09A1" w:rsidRDefault="00FA09A1">
      <w:pPr>
        <w:spacing w:after="0" w:line="240" w:lineRule="auto"/>
      </w:pPr>
      <w:r>
        <w:separator/>
      </w:r>
    </w:p>
  </w:footnote>
  <w:footnote w:type="continuationSeparator" w:id="0">
    <w:p w14:paraId="6D490FDC" w14:textId="77777777" w:rsidR="00FA09A1" w:rsidRDefault="00FA09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A7DC87F"/>
    <w:multiLevelType w:val="singleLevel"/>
    <w:tmpl w:val="FA7DC87F"/>
    <w:lvl w:ilvl="0">
      <w:start w:val="1"/>
      <w:numFmt w:val="bullet"/>
      <w:lvlText w:val=""/>
      <w:lvlJc w:val="left"/>
      <w:pPr>
        <w:ind w:left="420" w:hanging="420"/>
      </w:pPr>
      <w:rPr>
        <w:rFonts w:ascii="Wingdings" w:hAnsi="Wingdings" w:hint="default"/>
        <w:sz w:val="13"/>
      </w:rPr>
    </w:lvl>
  </w:abstractNum>
  <w:abstractNum w:abstractNumId="1">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2">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3">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nsid w:val="2F871502"/>
    <w:multiLevelType w:val="multilevel"/>
    <w:tmpl w:val="2F8715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FE83865"/>
    <w:multiLevelType w:val="singleLevel"/>
    <w:tmpl w:val="9934D670"/>
    <w:lvl w:ilvl="0">
      <w:start w:val="1"/>
      <w:numFmt w:val="decimal"/>
      <w:pStyle w:val="YJ-Observation"/>
      <w:lvlText w:val="Observation %1:"/>
      <w:lvlJc w:val="left"/>
      <w:pPr>
        <w:tabs>
          <w:tab w:val="left" w:pos="0"/>
        </w:tabs>
        <w:ind w:left="0" w:firstLine="0"/>
      </w:pPr>
      <w:rPr>
        <w:rFonts w:ascii="Times New Roman" w:eastAsia="SimSun" w:hAnsi="Times New Roman" w:cs="Times New Roman" w:hint="default"/>
        <w:b/>
        <w:bCs/>
        <w:i/>
        <w:iCs/>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3F9F4462"/>
    <w:multiLevelType w:val="singleLevel"/>
    <w:tmpl w:val="3F9F4462"/>
    <w:lvl w:ilvl="0">
      <w:start w:val="1"/>
      <w:numFmt w:val="bullet"/>
      <w:lvlText w:val=""/>
      <w:lvlJc w:val="left"/>
      <w:pPr>
        <w:ind w:left="420" w:hanging="420"/>
      </w:pPr>
      <w:rPr>
        <w:rFonts w:ascii="Wingdings" w:hAnsi="Wingdings" w:hint="default"/>
      </w:rPr>
    </w:lvl>
  </w:abstractNum>
  <w:abstractNum w:abstractNumId="8">
    <w:nsid w:val="40EC533A"/>
    <w:multiLevelType w:val="multilevel"/>
    <w:tmpl w:val="40EC5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ECF2CF2"/>
    <w:multiLevelType w:val="hybridMultilevel"/>
    <w:tmpl w:val="F29E26DA"/>
    <w:lvl w:ilvl="0" w:tplc="5244595E">
      <w:start w:val="1"/>
      <w:numFmt w:val="lowerLetter"/>
      <w:lvlText w:val="(%1)"/>
      <w:lvlJc w:val="left"/>
      <w:pPr>
        <w:ind w:left="1320" w:hanging="360"/>
      </w:pPr>
      <w:rPr>
        <w:rFonts w:eastAsia="Times New Roman"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0">
    <w:nsid w:val="5F786974"/>
    <w:multiLevelType w:val="singleLevel"/>
    <w:tmpl w:val="5F786974"/>
    <w:lvl w:ilvl="0">
      <w:start w:val="1"/>
      <w:numFmt w:val="bullet"/>
      <w:lvlText w:val=""/>
      <w:lvlJc w:val="left"/>
      <w:pPr>
        <w:ind w:left="420" w:hanging="420"/>
      </w:pPr>
      <w:rPr>
        <w:rFonts w:ascii="Wingdings" w:hAnsi="Wingdings" w:hint="default"/>
      </w:rPr>
    </w:lvl>
  </w:abstractNum>
  <w:abstractNum w:abstractNumId="11">
    <w:nsid w:val="6319726D"/>
    <w:multiLevelType w:val="multilevel"/>
    <w:tmpl w:val="631972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E686A3F"/>
    <w:multiLevelType w:val="multilevel"/>
    <w:tmpl w:val="6E686A3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nsid w:val="77427632"/>
    <w:multiLevelType w:val="multilevel"/>
    <w:tmpl w:val="774276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11"/>
  </w:num>
  <w:num w:numId="6">
    <w:abstractNumId w:val="8"/>
  </w:num>
  <w:num w:numId="7">
    <w:abstractNumId w:val="4"/>
  </w:num>
  <w:num w:numId="8">
    <w:abstractNumId w:val="3"/>
  </w:num>
  <w:num w:numId="9">
    <w:abstractNumId w:val="1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0"/>
  </w:num>
  <w:num w:numId="12">
    <w:abstractNumId w:val="13"/>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isplayHorizontalDrawingGridEvery w:val="3"/>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C20FD"/>
    <w:rsid w:val="000C31A9"/>
    <w:rsid w:val="00172A27"/>
    <w:rsid w:val="001F2C8C"/>
    <w:rsid w:val="002D7CD7"/>
    <w:rsid w:val="002E7C7E"/>
    <w:rsid w:val="0032133C"/>
    <w:rsid w:val="00340AEE"/>
    <w:rsid w:val="004200BA"/>
    <w:rsid w:val="005C378C"/>
    <w:rsid w:val="005F59FE"/>
    <w:rsid w:val="005F7C07"/>
    <w:rsid w:val="00603D74"/>
    <w:rsid w:val="00724C6D"/>
    <w:rsid w:val="007918CB"/>
    <w:rsid w:val="0080174D"/>
    <w:rsid w:val="00866A90"/>
    <w:rsid w:val="00866B93"/>
    <w:rsid w:val="008E07DF"/>
    <w:rsid w:val="009906F7"/>
    <w:rsid w:val="009D308F"/>
    <w:rsid w:val="00C51666"/>
    <w:rsid w:val="00C75728"/>
    <w:rsid w:val="00CB6C9B"/>
    <w:rsid w:val="00CC0C32"/>
    <w:rsid w:val="00CC34E6"/>
    <w:rsid w:val="00CD4C32"/>
    <w:rsid w:val="00CE2A1E"/>
    <w:rsid w:val="00CF642B"/>
    <w:rsid w:val="00DC206E"/>
    <w:rsid w:val="00E13220"/>
    <w:rsid w:val="00E965B9"/>
    <w:rsid w:val="00F12DF4"/>
    <w:rsid w:val="00F64174"/>
    <w:rsid w:val="00F83B8C"/>
    <w:rsid w:val="00F97663"/>
    <w:rsid w:val="00FA09A1"/>
    <w:rsid w:val="024D6B6A"/>
    <w:rsid w:val="026A072F"/>
    <w:rsid w:val="029B04E7"/>
    <w:rsid w:val="04DE315D"/>
    <w:rsid w:val="05E078B3"/>
    <w:rsid w:val="09052B4C"/>
    <w:rsid w:val="0B9E71DF"/>
    <w:rsid w:val="0E4D1F3F"/>
    <w:rsid w:val="0E916AD4"/>
    <w:rsid w:val="1091603A"/>
    <w:rsid w:val="111B1761"/>
    <w:rsid w:val="11BE00F7"/>
    <w:rsid w:val="125B6034"/>
    <w:rsid w:val="13E34821"/>
    <w:rsid w:val="14B11A15"/>
    <w:rsid w:val="14DA3DA1"/>
    <w:rsid w:val="179D75AA"/>
    <w:rsid w:val="17B91FB0"/>
    <w:rsid w:val="194C3B17"/>
    <w:rsid w:val="19572D85"/>
    <w:rsid w:val="196A0D29"/>
    <w:rsid w:val="196A2D48"/>
    <w:rsid w:val="1A054259"/>
    <w:rsid w:val="1A3C35B3"/>
    <w:rsid w:val="1A462B40"/>
    <w:rsid w:val="1A974A93"/>
    <w:rsid w:val="1B8D2470"/>
    <w:rsid w:val="1C132CB9"/>
    <w:rsid w:val="1CB25E86"/>
    <w:rsid w:val="1D3001F0"/>
    <w:rsid w:val="1D5D6125"/>
    <w:rsid w:val="1E9D6342"/>
    <w:rsid w:val="2203197B"/>
    <w:rsid w:val="227C3C89"/>
    <w:rsid w:val="228E5AAD"/>
    <w:rsid w:val="22C77429"/>
    <w:rsid w:val="23826868"/>
    <w:rsid w:val="23D370E4"/>
    <w:rsid w:val="25134332"/>
    <w:rsid w:val="270E2FDA"/>
    <w:rsid w:val="27B227F5"/>
    <w:rsid w:val="281D713F"/>
    <w:rsid w:val="287005A6"/>
    <w:rsid w:val="28B51172"/>
    <w:rsid w:val="29127FA4"/>
    <w:rsid w:val="29286EB4"/>
    <w:rsid w:val="29FA7F26"/>
    <w:rsid w:val="2CD71E4D"/>
    <w:rsid w:val="2E5E7501"/>
    <w:rsid w:val="2E966E89"/>
    <w:rsid w:val="30962F3E"/>
    <w:rsid w:val="32341C2C"/>
    <w:rsid w:val="32385B57"/>
    <w:rsid w:val="33AE688A"/>
    <w:rsid w:val="33D77827"/>
    <w:rsid w:val="35C22411"/>
    <w:rsid w:val="361F3323"/>
    <w:rsid w:val="363037FC"/>
    <w:rsid w:val="3784394E"/>
    <w:rsid w:val="389C212A"/>
    <w:rsid w:val="38AC03AE"/>
    <w:rsid w:val="39E073FD"/>
    <w:rsid w:val="3ACB5746"/>
    <w:rsid w:val="3AD91643"/>
    <w:rsid w:val="3B0F2954"/>
    <w:rsid w:val="3B834348"/>
    <w:rsid w:val="3DAB10B6"/>
    <w:rsid w:val="3F451B75"/>
    <w:rsid w:val="3FC956FF"/>
    <w:rsid w:val="3FD618D6"/>
    <w:rsid w:val="4188574A"/>
    <w:rsid w:val="41F466FD"/>
    <w:rsid w:val="440D5045"/>
    <w:rsid w:val="460C5979"/>
    <w:rsid w:val="47332A08"/>
    <w:rsid w:val="478D3BA1"/>
    <w:rsid w:val="47C01792"/>
    <w:rsid w:val="4A924D51"/>
    <w:rsid w:val="4AC31003"/>
    <w:rsid w:val="4AE93159"/>
    <w:rsid w:val="4B2E170C"/>
    <w:rsid w:val="4D8C1970"/>
    <w:rsid w:val="4DDC6DFD"/>
    <w:rsid w:val="4E27683A"/>
    <w:rsid w:val="4E6D2093"/>
    <w:rsid w:val="4F4F63F8"/>
    <w:rsid w:val="51867298"/>
    <w:rsid w:val="53DB3477"/>
    <w:rsid w:val="542B4155"/>
    <w:rsid w:val="554457BC"/>
    <w:rsid w:val="58500F22"/>
    <w:rsid w:val="5CA53400"/>
    <w:rsid w:val="5CA71994"/>
    <w:rsid w:val="5D362380"/>
    <w:rsid w:val="5DFD51DB"/>
    <w:rsid w:val="5EEF4A8C"/>
    <w:rsid w:val="5F1F55CF"/>
    <w:rsid w:val="607C3753"/>
    <w:rsid w:val="60C30855"/>
    <w:rsid w:val="60D6432F"/>
    <w:rsid w:val="61421EFD"/>
    <w:rsid w:val="615C5041"/>
    <w:rsid w:val="623A3EF6"/>
    <w:rsid w:val="63732477"/>
    <w:rsid w:val="652705FB"/>
    <w:rsid w:val="664805B8"/>
    <w:rsid w:val="67E81F6A"/>
    <w:rsid w:val="69010ED3"/>
    <w:rsid w:val="6A7B0D8A"/>
    <w:rsid w:val="6A904581"/>
    <w:rsid w:val="6AED6262"/>
    <w:rsid w:val="6C89456C"/>
    <w:rsid w:val="6D174F12"/>
    <w:rsid w:val="6D4B77BF"/>
    <w:rsid w:val="6DDF2B6C"/>
    <w:rsid w:val="6FA629D4"/>
    <w:rsid w:val="728D0FF5"/>
    <w:rsid w:val="72931D58"/>
    <w:rsid w:val="733D0953"/>
    <w:rsid w:val="73A361EC"/>
    <w:rsid w:val="73C55704"/>
    <w:rsid w:val="746A4F52"/>
    <w:rsid w:val="74C65777"/>
    <w:rsid w:val="77A8153F"/>
    <w:rsid w:val="799419E5"/>
    <w:rsid w:val="7A455AAD"/>
    <w:rsid w:val="7C26369C"/>
    <w:rsid w:val="7D62117D"/>
    <w:rsid w:val="7D9271BA"/>
    <w:rsid w:val="7E3E1EF2"/>
    <w:rsid w:val="7E966B01"/>
    <w:rsid w:val="7EF74FC9"/>
    <w:rsid w:val="7F4C1F07"/>
    <w:rsid w:val="7F5F1958"/>
    <w:rsid w:val="7FF12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7A0925"/>
  <w15:docId w15:val="{EB2CE0C4-F10E-49D6-A79F-F74B7B18A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qFormat="1"/>
    <w:lsdException w:name="footer" w:semiHidden="1" w:unhideWhenUsed="1" w:qFormat="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jc w:val="both"/>
    </w:pPr>
    <w:rPr>
      <w:kern w:val="2"/>
      <w:sz w:val="21"/>
    </w:rPr>
  </w:style>
  <w:style w:type="paragraph" w:styleId="Heading1">
    <w:name w:val="heading 1"/>
    <w:basedOn w:val="Normal"/>
    <w:next w:val="Normal"/>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120"/>
    </w:p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TOC1">
    <w:name w:val="toc 1"/>
    <w:basedOn w:val="Normal"/>
    <w:next w:val="Normal"/>
    <w:uiPriority w:val="39"/>
    <w:unhideWhenUsed/>
    <w:qFormat/>
    <w:rPr>
      <w:rFonts w:eastAsiaTheme="minorEastAsia"/>
      <w:b/>
      <w:i/>
      <w:sz w:val="20"/>
    </w:rPr>
  </w:style>
  <w:style w:type="character" w:styleId="Hyperlink">
    <w:name w:val="Hyperlink"/>
    <w:uiPriority w:val="99"/>
    <w:qFormat/>
    <w:rPr>
      <w:color w:val="0000FF"/>
      <w:u w:val="single"/>
    </w:rPr>
  </w:style>
  <w:style w:type="table" w:styleId="TableGrid">
    <w:name w:val="Table Grid"/>
    <w:basedOn w:val="TableNormal"/>
    <w:uiPriority w:val="99"/>
    <w:semiHidden/>
    <w:unhideWhenUs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Proposal">
    <w:name w:val="YJ-Proposal"/>
    <w:basedOn w:val="Normal"/>
    <w:qFormat/>
    <w:pPr>
      <w:numPr>
        <w:numId w:val="2"/>
      </w:numPr>
    </w:pPr>
    <w:rPr>
      <w:rFonts w:eastAsiaTheme="minorEastAsia"/>
      <w:b/>
      <w:bCs/>
      <w:i/>
      <w:iCs/>
      <w:sz w:val="20"/>
      <w:lang w:val="en-GB" w:eastAsia="en-US"/>
    </w:rPr>
  </w:style>
  <w:style w:type="paragraph" w:customStyle="1" w:styleId="References">
    <w:name w:val="References"/>
    <w:basedOn w:val="Normal"/>
    <w:qFormat/>
    <w:pPr>
      <w:numPr>
        <w:numId w:val="3"/>
      </w:numPr>
      <w:spacing w:after="60"/>
    </w:pPr>
    <w:rPr>
      <w:szCs w:val="16"/>
    </w:rPr>
  </w:style>
  <w:style w:type="paragraph" w:customStyle="1" w:styleId="YJ-Observation">
    <w:name w:val="YJ-Observation"/>
    <w:basedOn w:val="YJ-Proposal"/>
    <w:qFormat/>
    <w:pPr>
      <w:numPr>
        <w:numId w:val="4"/>
      </w:numPr>
      <w:tabs>
        <w:tab w:val="left" w:pos="420"/>
      </w:tabs>
    </w:pPr>
  </w:style>
  <w:style w:type="paragraph" w:styleId="ListParagraph">
    <w:name w:val="List Paragraph"/>
    <w:basedOn w:val="Normal"/>
    <w:uiPriority w:val="34"/>
    <w:qFormat/>
    <w:pPr>
      <w:spacing w:after="0" w:line="240" w:lineRule="auto"/>
      <w:ind w:left="720"/>
      <w:contextualSpacing/>
    </w:pPr>
    <w:rPr>
      <w:rFonts w:eastAsia="Times New Roman"/>
      <w:sz w:val="24"/>
      <w:szCs w:val="24"/>
    </w:rPr>
  </w:style>
  <w:style w:type="paragraph" w:styleId="Header">
    <w:name w:val="header"/>
    <w:basedOn w:val="Normal"/>
    <w:link w:val="HeaderChar"/>
    <w:semiHidden/>
    <w:qFormat/>
    <w:rsid w:val="002E7C7E"/>
    <w:pPr>
      <w:tabs>
        <w:tab w:val="center" w:pos="4680"/>
        <w:tab w:val="right" w:pos="9360"/>
      </w:tabs>
      <w:spacing w:after="0" w:line="240" w:lineRule="auto"/>
    </w:pPr>
  </w:style>
  <w:style w:type="character" w:customStyle="1" w:styleId="HeaderChar">
    <w:name w:val="Header Char"/>
    <w:basedOn w:val="DefaultParagraphFont"/>
    <w:link w:val="Header"/>
    <w:semiHidden/>
    <w:rsid w:val="002E7C7E"/>
    <w:rPr>
      <w:kern w:val="2"/>
      <w:sz w:val="21"/>
    </w:rPr>
  </w:style>
  <w:style w:type="character" w:customStyle="1" w:styleId="FooterChar">
    <w:name w:val="Footer Char"/>
    <w:basedOn w:val="DefaultParagraphFont"/>
    <w:link w:val="Footer"/>
    <w:uiPriority w:val="99"/>
    <w:rsid w:val="002E7C7E"/>
    <w:rPr>
      <w:kern w:val="2"/>
      <w:sz w:val="18"/>
      <w:szCs w:val="18"/>
    </w:rPr>
  </w:style>
  <w:style w:type="character" w:styleId="CommentReference">
    <w:name w:val="annotation reference"/>
    <w:basedOn w:val="DefaultParagraphFont"/>
    <w:uiPriority w:val="99"/>
    <w:semiHidden/>
    <w:unhideWhenUsed/>
    <w:rsid w:val="002D7CD7"/>
    <w:rPr>
      <w:sz w:val="16"/>
      <w:szCs w:val="16"/>
    </w:rPr>
  </w:style>
  <w:style w:type="paragraph" w:styleId="CommentText">
    <w:name w:val="annotation text"/>
    <w:basedOn w:val="Normal"/>
    <w:link w:val="CommentTextChar"/>
    <w:uiPriority w:val="99"/>
    <w:semiHidden/>
    <w:unhideWhenUsed/>
    <w:rsid w:val="002D7CD7"/>
    <w:pPr>
      <w:spacing w:line="240" w:lineRule="auto"/>
    </w:pPr>
    <w:rPr>
      <w:sz w:val="20"/>
    </w:rPr>
  </w:style>
  <w:style w:type="character" w:customStyle="1" w:styleId="CommentTextChar">
    <w:name w:val="Comment Text Char"/>
    <w:basedOn w:val="DefaultParagraphFont"/>
    <w:link w:val="CommentText"/>
    <w:uiPriority w:val="99"/>
    <w:semiHidden/>
    <w:rsid w:val="002D7CD7"/>
    <w:rPr>
      <w:kern w:val="2"/>
    </w:rPr>
  </w:style>
  <w:style w:type="paragraph" w:styleId="CommentSubject">
    <w:name w:val="annotation subject"/>
    <w:basedOn w:val="CommentText"/>
    <w:next w:val="CommentText"/>
    <w:link w:val="CommentSubjectChar"/>
    <w:uiPriority w:val="99"/>
    <w:semiHidden/>
    <w:unhideWhenUsed/>
    <w:rsid w:val="002D7CD7"/>
    <w:rPr>
      <w:b/>
      <w:bCs/>
    </w:rPr>
  </w:style>
  <w:style w:type="character" w:customStyle="1" w:styleId="CommentSubjectChar">
    <w:name w:val="Comment Subject Char"/>
    <w:basedOn w:val="CommentTextChar"/>
    <w:link w:val="CommentSubject"/>
    <w:uiPriority w:val="99"/>
    <w:semiHidden/>
    <w:rsid w:val="002D7CD7"/>
    <w:rPr>
      <w:b/>
      <w:bCs/>
      <w:kern w:val="2"/>
    </w:rPr>
  </w:style>
  <w:style w:type="paragraph" w:styleId="BalloonText">
    <w:name w:val="Balloon Text"/>
    <w:basedOn w:val="Normal"/>
    <w:link w:val="BalloonTextChar"/>
    <w:uiPriority w:val="99"/>
    <w:semiHidden/>
    <w:unhideWhenUsed/>
    <w:rsid w:val="002D7C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7CD7"/>
    <w:rPr>
      <w:rFonts w:ascii="Segoe UI" w:hAnsi="Segoe UI" w:cs="Segoe U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7.bin"/><Relationship Id="rId10" Type="http://schemas.openxmlformats.org/officeDocument/2006/relationships/image" Target="media/image2.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8</Pages>
  <Words>2348</Words>
  <Characters>13387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Windows User</cp:lastModifiedBy>
  <cp:revision>13</cp:revision>
  <dcterms:created xsi:type="dcterms:W3CDTF">2019-04-30T00:36:00Z</dcterms:created>
  <dcterms:modified xsi:type="dcterms:W3CDTF">2019-05-03T10:08:00Z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